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39" w:rsidRPr="001F5597" w:rsidRDefault="00DB1A39" w:rsidP="006C3E85">
      <w:pPr>
        <w:spacing w:line="240" w:lineRule="auto"/>
        <w:contextualSpacing/>
        <w:rPr>
          <w:rFonts w:ascii="Arial" w:hAnsi="Arial" w:cs="Arial"/>
          <w:b/>
          <w:sz w:val="36"/>
          <w:szCs w:val="36"/>
        </w:rPr>
      </w:pPr>
      <w:r w:rsidRPr="001F5597">
        <w:rPr>
          <w:rFonts w:ascii="Arial" w:hAnsi="Arial" w:cs="Arial"/>
          <w:b/>
          <w:sz w:val="36"/>
          <w:szCs w:val="36"/>
        </w:rPr>
        <w:t>A Summary of State Rate &amp; Regulatory Activity</w:t>
      </w:r>
    </w:p>
    <w:p w:rsidR="00DB1A39" w:rsidRPr="00B51D1F" w:rsidRDefault="00DB1A39" w:rsidP="006C3E85">
      <w:pPr>
        <w:spacing w:line="240" w:lineRule="auto"/>
        <w:contextualSpacing/>
        <w:rPr>
          <w:rFonts w:ascii="Arial" w:hAnsi="Arial" w:cs="Arial"/>
          <w:b/>
          <w:i/>
          <w:sz w:val="16"/>
          <w:szCs w:val="16"/>
        </w:rPr>
      </w:pPr>
      <w:r w:rsidRPr="00B51D1F">
        <w:rPr>
          <w:rFonts w:ascii="Arial" w:hAnsi="Arial" w:cs="Arial"/>
          <w:b/>
          <w:i/>
          <w:sz w:val="16"/>
          <w:szCs w:val="16"/>
        </w:rPr>
        <w:t>A Publication for AGA Members</w:t>
      </w:r>
    </w:p>
    <w:p w:rsidR="00DB1A39" w:rsidRPr="00B51D1F" w:rsidRDefault="00DB1A39" w:rsidP="004A4C05">
      <w:pPr>
        <w:spacing w:line="240" w:lineRule="auto"/>
        <w:contextualSpacing/>
        <w:rPr>
          <w:rFonts w:ascii="Arial" w:hAnsi="Arial" w:cs="Arial"/>
          <w:i/>
        </w:rPr>
      </w:pPr>
      <w:r w:rsidRPr="00B51D1F">
        <w:rPr>
          <w:rFonts w:ascii="Arial" w:hAnsi="Arial" w:cs="Arial"/>
          <w:i/>
        </w:rPr>
        <w:t>This document is intended to provide AGA members with a summary of information relative to state rate and regulatory proceedings and other related matters on a timely basis.  Additional information and archived versions of the Rate &amp; Regulatory Update can be found at the following web link:</w:t>
      </w:r>
      <w:r w:rsidR="001F5597">
        <w:rPr>
          <w:rFonts w:ascii="Arial" w:hAnsi="Arial" w:cs="Arial"/>
          <w:i/>
        </w:rPr>
        <w:t xml:space="preserve"> </w:t>
      </w:r>
      <w:hyperlink r:id="rId8" w:history="1">
        <w:r w:rsidRPr="00B51D1F">
          <w:rPr>
            <w:rStyle w:val="Hyperlink"/>
            <w:rFonts w:ascii="Arial" w:hAnsi="Arial" w:cs="Arial"/>
            <w:i/>
          </w:rPr>
          <w:t>https://www.aga.org/rate-alerts</w:t>
        </w:r>
      </w:hyperlink>
      <w:r w:rsidRPr="00B51D1F">
        <w:rPr>
          <w:rFonts w:ascii="Arial" w:hAnsi="Arial" w:cs="Arial"/>
          <w:i/>
        </w:rPr>
        <w:t xml:space="preserve"> </w:t>
      </w:r>
    </w:p>
    <w:p w:rsidR="008A2C67" w:rsidRPr="00B51D1F" w:rsidRDefault="008A2C67" w:rsidP="004A4C05">
      <w:pPr>
        <w:spacing w:line="240" w:lineRule="auto"/>
        <w:contextualSpacing/>
        <w:rPr>
          <w:rFonts w:ascii="Arial" w:hAnsi="Arial" w:cs="Arial"/>
          <w:i/>
        </w:rPr>
      </w:pPr>
    </w:p>
    <w:tbl>
      <w:tblPr>
        <w:tblStyle w:val="TableGrid"/>
        <w:tblW w:w="9895" w:type="dxa"/>
        <w:tblLook w:val="04A0" w:firstRow="1" w:lastRow="0" w:firstColumn="1" w:lastColumn="0" w:noHBand="0" w:noVBand="1"/>
      </w:tblPr>
      <w:tblGrid>
        <w:gridCol w:w="2245"/>
        <w:gridCol w:w="7650"/>
      </w:tblGrid>
      <w:tr w:rsidR="00EE50B3" w:rsidRPr="00B51D1F" w:rsidTr="004E793E">
        <w:trPr>
          <w:trHeight w:val="279"/>
        </w:trPr>
        <w:tc>
          <w:tcPr>
            <w:tcW w:w="9895" w:type="dxa"/>
            <w:gridSpan w:val="2"/>
            <w:shd w:val="clear" w:color="auto" w:fill="1F4E79" w:themeFill="accent1" w:themeFillShade="80"/>
          </w:tcPr>
          <w:p w:rsidR="00EE50B3" w:rsidRPr="001F5597" w:rsidRDefault="00EE50B3" w:rsidP="00684717">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t>Rate Case Data</w:t>
            </w:r>
            <w:r w:rsidR="00DE3CEE" w:rsidRPr="001F5597">
              <w:rPr>
                <w:rFonts w:ascii="Arial" w:hAnsi="Arial" w:cs="Arial"/>
                <w:b/>
                <w:color w:val="FFFFFF" w:themeColor="background1"/>
                <w:sz w:val="36"/>
                <w:szCs w:val="36"/>
              </w:rPr>
              <w:t xml:space="preserve"> for t</w:t>
            </w:r>
            <w:r w:rsidRPr="001F5597">
              <w:rPr>
                <w:rFonts w:ascii="Arial" w:hAnsi="Arial" w:cs="Arial"/>
                <w:b/>
                <w:color w:val="FFFFFF" w:themeColor="background1"/>
                <w:sz w:val="36"/>
                <w:szCs w:val="36"/>
              </w:rPr>
              <w:t>his Period</w:t>
            </w:r>
          </w:p>
        </w:tc>
      </w:tr>
      <w:tr w:rsidR="00EE50B3" w:rsidRPr="00B51D1F" w:rsidTr="002E5982">
        <w:trPr>
          <w:trHeight w:val="279"/>
        </w:trPr>
        <w:tc>
          <w:tcPr>
            <w:tcW w:w="2245" w:type="dxa"/>
            <w:shd w:val="clear" w:color="auto" w:fill="1F4E79" w:themeFill="accent1" w:themeFillShade="80"/>
          </w:tcPr>
          <w:p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Orders Issued</w:t>
            </w:r>
          </w:p>
        </w:tc>
        <w:tc>
          <w:tcPr>
            <w:tcW w:w="7650" w:type="dxa"/>
            <w:tcBorders>
              <w:bottom w:val="single" w:sz="4" w:space="0" w:color="auto"/>
            </w:tcBorders>
            <w:shd w:val="clear" w:color="auto" w:fill="auto"/>
          </w:tcPr>
          <w:p w:rsidR="00EE50B3" w:rsidRPr="00B51D1F" w:rsidRDefault="00FB3917" w:rsidP="000C1B88">
            <w:pPr>
              <w:tabs>
                <w:tab w:val="left" w:pos="780"/>
              </w:tabs>
              <w:rPr>
                <w:rFonts w:ascii="Arial" w:hAnsi="Arial" w:cs="Arial"/>
              </w:rPr>
            </w:pPr>
            <w:r>
              <w:rPr>
                <w:rFonts w:ascii="Arial" w:hAnsi="Arial" w:cs="Arial"/>
              </w:rPr>
              <w:t>9</w:t>
            </w:r>
          </w:p>
        </w:tc>
      </w:tr>
      <w:tr w:rsidR="00EE50B3" w:rsidRPr="00B51D1F" w:rsidTr="002E5982">
        <w:trPr>
          <w:trHeight w:val="279"/>
        </w:trPr>
        <w:tc>
          <w:tcPr>
            <w:tcW w:w="2245" w:type="dxa"/>
            <w:shd w:val="clear" w:color="auto" w:fill="1F4E79" w:themeFill="accent1" w:themeFillShade="80"/>
          </w:tcPr>
          <w:p w:rsidR="00EE50B3" w:rsidRPr="00B51D1F" w:rsidRDefault="00EE50B3" w:rsidP="00EE50B3">
            <w:pPr>
              <w:rPr>
                <w:rFonts w:ascii="Arial" w:hAnsi="Arial" w:cs="Arial"/>
                <w:b/>
                <w:color w:val="FFFFFF" w:themeColor="background1"/>
              </w:rPr>
            </w:pPr>
            <w:r w:rsidRPr="00B51D1F">
              <w:rPr>
                <w:rFonts w:ascii="Arial" w:hAnsi="Arial" w:cs="Arial"/>
                <w:b/>
                <w:color w:val="FFFFFF" w:themeColor="background1"/>
              </w:rPr>
              <w:t>Average ROE</w:t>
            </w:r>
            <w:r w:rsidR="002B206B" w:rsidRPr="00B51D1F">
              <w:rPr>
                <w:rFonts w:ascii="Arial" w:hAnsi="Arial" w:cs="Arial"/>
                <w:b/>
                <w:color w:val="FFFFFF" w:themeColor="background1"/>
              </w:rPr>
              <w:t xml:space="preserve"> </w:t>
            </w:r>
          </w:p>
        </w:tc>
        <w:tc>
          <w:tcPr>
            <w:tcW w:w="7650" w:type="dxa"/>
            <w:shd w:val="clear" w:color="auto" w:fill="auto"/>
          </w:tcPr>
          <w:p w:rsidR="00EE50B3" w:rsidRPr="00B51D1F" w:rsidRDefault="001671AB" w:rsidP="00E8069C">
            <w:pPr>
              <w:rPr>
                <w:rFonts w:ascii="Arial" w:hAnsi="Arial" w:cs="Arial"/>
              </w:rPr>
            </w:pPr>
            <w:r>
              <w:rPr>
                <w:rFonts w:ascii="Arial" w:hAnsi="Arial" w:cs="Arial"/>
              </w:rPr>
              <w:t>9.55%</w:t>
            </w:r>
          </w:p>
        </w:tc>
      </w:tr>
      <w:tr w:rsidR="006B0973" w:rsidRPr="00B51D1F" w:rsidTr="004E793E">
        <w:trPr>
          <w:trHeight w:val="279"/>
        </w:trPr>
        <w:tc>
          <w:tcPr>
            <w:tcW w:w="9895" w:type="dxa"/>
            <w:gridSpan w:val="2"/>
            <w:tcBorders>
              <w:bottom w:val="single" w:sz="4" w:space="0" w:color="auto"/>
            </w:tcBorders>
            <w:shd w:val="clear" w:color="auto" w:fill="1F4E79" w:themeFill="accent1" w:themeFillShade="80"/>
          </w:tcPr>
          <w:p w:rsidR="006B0973" w:rsidRPr="00B51D1F" w:rsidRDefault="006B0973" w:rsidP="007E1100">
            <w:pPr>
              <w:rPr>
                <w:rFonts w:ascii="Arial" w:hAnsi="Arial" w:cs="Arial"/>
                <w:b/>
              </w:rPr>
            </w:pPr>
            <w:r w:rsidRPr="00B51D1F">
              <w:rPr>
                <w:rFonts w:ascii="Arial" w:hAnsi="Arial" w:cs="Arial"/>
                <w:b/>
                <w:color w:val="FFFFFF" w:themeColor="background1"/>
              </w:rPr>
              <w:t>Trends and Analysis</w:t>
            </w:r>
          </w:p>
        </w:tc>
      </w:tr>
      <w:tr w:rsidR="006B0973" w:rsidRPr="00B51D1F" w:rsidTr="00BD7495">
        <w:trPr>
          <w:trHeight w:val="800"/>
        </w:trPr>
        <w:tc>
          <w:tcPr>
            <w:tcW w:w="9895" w:type="dxa"/>
            <w:gridSpan w:val="2"/>
            <w:tcBorders>
              <w:bottom w:val="single" w:sz="4" w:space="0" w:color="auto"/>
            </w:tcBorders>
            <w:shd w:val="clear" w:color="auto" w:fill="auto"/>
          </w:tcPr>
          <w:p w:rsidR="00B250E0" w:rsidRDefault="006A0AAB" w:rsidP="00C1350E">
            <w:pPr>
              <w:tabs>
                <w:tab w:val="left" w:pos="3285"/>
              </w:tabs>
              <w:rPr>
                <w:rFonts w:ascii="Arial" w:hAnsi="Arial" w:cs="Arial"/>
              </w:rPr>
            </w:pPr>
            <w:r>
              <w:rPr>
                <w:rFonts w:ascii="Arial" w:hAnsi="Arial" w:cs="Arial"/>
              </w:rPr>
              <w:t xml:space="preserve">The </w:t>
            </w:r>
            <w:r w:rsidR="003E0A98">
              <w:rPr>
                <w:rFonts w:ascii="Arial" w:hAnsi="Arial" w:cs="Arial"/>
              </w:rPr>
              <w:t xml:space="preserve">average ROE authorized gas utilities </w:t>
            </w:r>
            <w:proofErr w:type="gramStart"/>
            <w:r w:rsidR="003E0A98">
              <w:rPr>
                <w:rFonts w:ascii="Arial" w:hAnsi="Arial" w:cs="Arial"/>
              </w:rPr>
              <w:t>was</w:t>
            </w:r>
            <w:proofErr w:type="gramEnd"/>
            <w:r w:rsidR="003E0A98">
              <w:rPr>
                <w:rFonts w:ascii="Arial" w:hAnsi="Arial" w:cs="Arial"/>
              </w:rPr>
              <w:t xml:space="preserve"> 9.55% in the first quarter of 2019 compared to 9.59% in full year 2018. In the first three months of 2019, only four gas cases included </w:t>
            </w:r>
            <w:proofErr w:type="gramStart"/>
            <w:r w:rsidR="003E0A98">
              <w:rPr>
                <w:rFonts w:ascii="Arial" w:hAnsi="Arial" w:cs="Arial"/>
              </w:rPr>
              <w:t>an</w:t>
            </w:r>
            <w:proofErr w:type="gramEnd"/>
            <w:r w:rsidR="003E0A98">
              <w:rPr>
                <w:rFonts w:ascii="Arial" w:hAnsi="Arial" w:cs="Arial"/>
              </w:rPr>
              <w:t xml:space="preserve"> ROE determination. The median authorized ROE was 9.7% up from 9.6% in 2018. </w:t>
            </w:r>
          </w:p>
          <w:p w:rsidR="003E0A98" w:rsidRDefault="003E0A98" w:rsidP="00C1350E">
            <w:pPr>
              <w:tabs>
                <w:tab w:val="left" w:pos="3285"/>
              </w:tabs>
              <w:rPr>
                <w:rFonts w:ascii="Arial" w:hAnsi="Arial" w:cs="Arial"/>
              </w:rPr>
            </w:pPr>
          </w:p>
          <w:p w:rsidR="003E0A98" w:rsidRDefault="003E0A98" w:rsidP="00C1350E">
            <w:pPr>
              <w:tabs>
                <w:tab w:val="left" w:pos="3285"/>
              </w:tabs>
              <w:rPr>
                <w:rFonts w:ascii="Arial" w:hAnsi="Arial" w:cs="Arial"/>
              </w:rPr>
            </w:pPr>
            <w:r>
              <w:rPr>
                <w:rFonts w:ascii="Arial" w:hAnsi="Arial" w:cs="Arial"/>
              </w:rPr>
              <w:t xml:space="preserve">Increased costs associated with environmental compliance, infrastructure upgrades and expansion, storm and disaster recovery, cybersecurity and employee benefits argue for the continuation of an active rate case agenda over the next several years. Additionally, the need to address the impacts of the 2017 Tax Cuts and Jobs Act has cased rate case agendas to be more active than previously anticipated. </w:t>
            </w:r>
          </w:p>
          <w:p w:rsidR="003E0A98" w:rsidRDefault="003E0A98" w:rsidP="00C1350E">
            <w:pPr>
              <w:tabs>
                <w:tab w:val="left" w:pos="3285"/>
              </w:tabs>
              <w:rPr>
                <w:rFonts w:ascii="Arial" w:hAnsi="Arial" w:cs="Arial"/>
              </w:rPr>
            </w:pPr>
          </w:p>
          <w:p w:rsidR="003E0A98" w:rsidRDefault="003E0A98" w:rsidP="00C1350E">
            <w:pPr>
              <w:tabs>
                <w:tab w:val="left" w:pos="3285"/>
              </w:tabs>
              <w:rPr>
                <w:rFonts w:ascii="Arial" w:hAnsi="Arial" w:cs="Arial"/>
              </w:rPr>
            </w:pPr>
            <w:r>
              <w:rPr>
                <w:rFonts w:ascii="Arial" w:hAnsi="Arial" w:cs="Arial"/>
              </w:rPr>
              <w:t xml:space="preserve">Furthermore, raising interest rates may also play a role in increased rate case activity. In 2015, the Federal Reserve began to gradually raise the federal funds rate. </w:t>
            </w:r>
            <w:proofErr w:type="gramStart"/>
            <w:r>
              <w:rPr>
                <w:rFonts w:ascii="Arial" w:hAnsi="Arial" w:cs="Arial"/>
              </w:rPr>
              <w:t>Subsequent to</w:t>
            </w:r>
            <w:proofErr w:type="gramEnd"/>
            <w:r>
              <w:rPr>
                <w:rFonts w:ascii="Arial" w:hAnsi="Arial" w:cs="Arial"/>
              </w:rPr>
              <w:t xml:space="preserve"> that hike, the Federal Reserve has increased rates by 25 basis points eight times, the most recent hike occurring in December 2018, bringing the federal funds rate to the range of 2.25 to 2.5%. While additional increases were anticipated in 2019, comments from the Federal Reserve indicate a willingness to remain patient about hikes in 2019 due to the slowdown in the global economy and low inflationary pressures. </w:t>
            </w:r>
          </w:p>
          <w:p w:rsidR="003E0A98" w:rsidRDefault="003E0A98" w:rsidP="00C1350E">
            <w:pPr>
              <w:tabs>
                <w:tab w:val="left" w:pos="3285"/>
              </w:tabs>
              <w:rPr>
                <w:rFonts w:ascii="Arial" w:hAnsi="Arial" w:cs="Arial"/>
              </w:rPr>
            </w:pPr>
          </w:p>
          <w:p w:rsidR="003E0A98" w:rsidRDefault="003E0A98" w:rsidP="00C1350E">
            <w:pPr>
              <w:tabs>
                <w:tab w:val="left" w:pos="3285"/>
              </w:tabs>
              <w:rPr>
                <w:rFonts w:ascii="Arial" w:hAnsi="Arial" w:cs="Arial"/>
              </w:rPr>
            </w:pPr>
            <w:r>
              <w:rPr>
                <w:rFonts w:ascii="Arial" w:hAnsi="Arial" w:cs="Arial"/>
              </w:rPr>
              <w:t xml:space="preserve">To counter the negative cash flow impact of the Tax Cuts and Jobs Act, many utilities sought higher common equity rations, and the average authorized equity ratio adopted by utility commissions in the first three months of 2019 was modestly higher than levels observed in 2018 and 2017. The </w:t>
            </w:r>
            <w:r w:rsidR="000F695E">
              <w:rPr>
                <w:rFonts w:ascii="Arial" w:hAnsi="Arial" w:cs="Arial"/>
              </w:rPr>
              <w:t xml:space="preserve">average allowed equity ratio for gas utilities nationwide was 51.40% in the first three months of 2019; compared to 50.09% in 2018 and 49.88% in 2017. The </w:t>
            </w:r>
            <w:proofErr w:type="gramStart"/>
            <w:r w:rsidR="000F695E">
              <w:rPr>
                <w:rFonts w:ascii="Arial" w:hAnsi="Arial" w:cs="Arial"/>
              </w:rPr>
              <w:t>aforementioned averages</w:t>
            </w:r>
            <w:proofErr w:type="gramEnd"/>
            <w:r w:rsidR="000F695E">
              <w:rPr>
                <w:rFonts w:ascii="Arial" w:hAnsi="Arial" w:cs="Arial"/>
              </w:rPr>
              <w:t xml:space="preserve"> include allowed equity ratios adopted by utility commissions in Arkansas, Florida, Indiana and Michigan – jurisdictions that authorize capital structures that include cost-free items or tax credit balances. For gas utilities, there were no determinations from the </w:t>
            </w:r>
            <w:proofErr w:type="gramStart"/>
            <w:r w:rsidR="000F695E">
              <w:rPr>
                <w:rFonts w:ascii="Arial" w:hAnsi="Arial" w:cs="Arial"/>
              </w:rPr>
              <w:t>aforementioned states</w:t>
            </w:r>
            <w:proofErr w:type="gramEnd"/>
            <w:r w:rsidR="000F695E">
              <w:rPr>
                <w:rFonts w:ascii="Arial" w:hAnsi="Arial" w:cs="Arial"/>
              </w:rPr>
              <w:t xml:space="preserve"> to-date in 2019, however, excluding these jurisdictions from prior years, the average allowed equity ratio was 51.47% in 2018 and 51.13% in 2017.</w:t>
            </w:r>
          </w:p>
          <w:p w:rsidR="00513417" w:rsidRDefault="00513417" w:rsidP="00C1350E">
            <w:pPr>
              <w:tabs>
                <w:tab w:val="left" w:pos="3285"/>
              </w:tabs>
              <w:rPr>
                <w:rFonts w:ascii="Arial" w:hAnsi="Arial" w:cs="Arial"/>
              </w:rPr>
            </w:pPr>
          </w:p>
          <w:p w:rsidR="00513417" w:rsidRDefault="00513417" w:rsidP="00C1350E">
            <w:pPr>
              <w:tabs>
                <w:tab w:val="left" w:pos="3285"/>
              </w:tabs>
              <w:rPr>
                <w:rFonts w:ascii="Arial" w:hAnsi="Arial" w:cs="Arial"/>
              </w:rPr>
            </w:pPr>
          </w:p>
          <w:p w:rsidR="00513417" w:rsidRDefault="00513417" w:rsidP="00C1350E">
            <w:pPr>
              <w:tabs>
                <w:tab w:val="left" w:pos="3285"/>
              </w:tabs>
              <w:rPr>
                <w:rFonts w:ascii="Arial" w:hAnsi="Arial" w:cs="Arial"/>
              </w:rPr>
            </w:pPr>
          </w:p>
          <w:p w:rsidR="00513417" w:rsidRPr="00B250E0" w:rsidRDefault="00513417" w:rsidP="00C1350E">
            <w:pPr>
              <w:tabs>
                <w:tab w:val="left" w:pos="3285"/>
              </w:tabs>
              <w:rPr>
                <w:rFonts w:ascii="Arial" w:hAnsi="Arial" w:cs="Arial"/>
              </w:rPr>
            </w:pPr>
          </w:p>
          <w:p w:rsidR="006C0F04" w:rsidRPr="00B51D1F" w:rsidRDefault="006C0F04" w:rsidP="00B250E0">
            <w:pPr>
              <w:tabs>
                <w:tab w:val="left" w:pos="3285"/>
              </w:tabs>
              <w:rPr>
                <w:rFonts w:ascii="Arial" w:hAnsi="Arial" w:cs="Arial"/>
              </w:rPr>
            </w:pPr>
          </w:p>
        </w:tc>
      </w:tr>
      <w:tr w:rsidR="0061237E" w:rsidRPr="00B51D1F" w:rsidTr="004E793E">
        <w:trPr>
          <w:trHeight w:val="279"/>
        </w:trPr>
        <w:tc>
          <w:tcPr>
            <w:tcW w:w="9895" w:type="dxa"/>
            <w:gridSpan w:val="2"/>
            <w:tcBorders>
              <w:top w:val="nil"/>
            </w:tcBorders>
            <w:shd w:val="clear" w:color="auto" w:fill="1F4E79" w:themeFill="accent1" w:themeFillShade="80"/>
          </w:tcPr>
          <w:p w:rsidR="0061237E" w:rsidRPr="001F5597" w:rsidRDefault="0061237E" w:rsidP="004422B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Other Regulatory Developments</w:t>
            </w:r>
          </w:p>
        </w:tc>
      </w:tr>
      <w:tr w:rsidR="0061237E" w:rsidRPr="00B51D1F" w:rsidTr="0061237E">
        <w:trPr>
          <w:trHeight w:val="279"/>
        </w:trPr>
        <w:tc>
          <w:tcPr>
            <w:tcW w:w="9895" w:type="dxa"/>
            <w:gridSpan w:val="2"/>
            <w:tcBorders>
              <w:top w:val="nil"/>
            </w:tcBorders>
            <w:shd w:val="clear" w:color="auto" w:fill="auto"/>
          </w:tcPr>
          <w:p w:rsidR="00870BBE" w:rsidRDefault="00870BBE" w:rsidP="0061237E">
            <w:pPr>
              <w:rPr>
                <w:rFonts w:ascii="Arial" w:hAnsi="Arial" w:cs="Arial"/>
                <w:b/>
                <w:u w:val="single"/>
              </w:rPr>
            </w:pPr>
          </w:p>
          <w:p w:rsidR="00F04E50" w:rsidRDefault="00F04E50" w:rsidP="0061237E">
            <w:pPr>
              <w:rPr>
                <w:rFonts w:ascii="Arial" w:hAnsi="Arial" w:cs="Arial"/>
                <w:b/>
                <w:u w:val="single"/>
              </w:rPr>
            </w:pPr>
          </w:p>
          <w:p w:rsidR="0066650B" w:rsidRPr="004D07E3" w:rsidRDefault="008A2C67" w:rsidP="0061237E">
            <w:pPr>
              <w:rPr>
                <w:rFonts w:ascii="Arial" w:hAnsi="Arial" w:cs="Arial"/>
                <w:b/>
                <w:u w:val="single"/>
              </w:rPr>
            </w:pPr>
            <w:r w:rsidRPr="004D07E3">
              <w:rPr>
                <w:rFonts w:ascii="Arial" w:hAnsi="Arial" w:cs="Arial"/>
                <w:b/>
                <w:u w:val="single"/>
              </w:rPr>
              <w:t>Commission Changes</w:t>
            </w:r>
            <w:r w:rsidR="00CD3DC9" w:rsidRPr="004D07E3">
              <w:rPr>
                <w:rFonts w:ascii="Arial" w:hAnsi="Arial" w:cs="Arial"/>
                <w:b/>
                <w:u w:val="single"/>
              </w:rPr>
              <w:t xml:space="preserve"> &amp; Updates</w:t>
            </w:r>
          </w:p>
          <w:p w:rsidR="00933722" w:rsidRPr="004D07E3" w:rsidRDefault="00933722" w:rsidP="0061237E">
            <w:pPr>
              <w:rPr>
                <w:rFonts w:ascii="Arial" w:hAnsi="Arial" w:cs="Arial"/>
                <w:b/>
                <w:u w:val="single"/>
              </w:rPr>
            </w:pPr>
          </w:p>
          <w:p w:rsidR="00F04E50" w:rsidRDefault="00F04E50" w:rsidP="0061237E">
            <w:pPr>
              <w:rPr>
                <w:rFonts w:ascii="Arial" w:hAnsi="Arial" w:cs="Arial"/>
              </w:rPr>
            </w:pPr>
            <w:r>
              <w:rPr>
                <w:rFonts w:ascii="Arial" w:hAnsi="Arial" w:cs="Arial"/>
                <w:b/>
              </w:rPr>
              <w:t>IL</w:t>
            </w:r>
            <w:r w:rsidRPr="004D07E3">
              <w:rPr>
                <w:rFonts w:ascii="Arial" w:hAnsi="Arial" w:cs="Arial"/>
                <w:b/>
              </w:rPr>
              <w:t xml:space="preserve">: </w:t>
            </w:r>
            <w:r>
              <w:rPr>
                <w:rFonts w:ascii="Arial" w:hAnsi="Arial" w:cs="Arial"/>
              </w:rPr>
              <w:t xml:space="preserve">On March 29, Illinois Governor J.B. Pritzker appointed Carrie </w:t>
            </w:r>
            <w:proofErr w:type="spellStart"/>
            <w:r>
              <w:rPr>
                <w:rFonts w:ascii="Arial" w:hAnsi="Arial" w:cs="Arial"/>
              </w:rPr>
              <w:t>Zalewski</w:t>
            </w:r>
            <w:proofErr w:type="spellEnd"/>
            <w:r>
              <w:rPr>
                <w:rFonts w:ascii="Arial" w:hAnsi="Arial" w:cs="Arial"/>
              </w:rPr>
              <w:t xml:space="preserve"> to the Illinois Commerce Commission to a five-year term that extends to January 2024.  </w:t>
            </w:r>
          </w:p>
          <w:p w:rsidR="00F04E50" w:rsidRDefault="00F04E50" w:rsidP="0061237E">
            <w:pPr>
              <w:rPr>
                <w:rFonts w:ascii="Arial" w:hAnsi="Arial" w:cs="Arial"/>
                <w:b/>
              </w:rPr>
            </w:pPr>
          </w:p>
          <w:p w:rsidR="006514E3" w:rsidRDefault="005B387C" w:rsidP="0061237E">
            <w:pPr>
              <w:rPr>
                <w:rFonts w:ascii="Arial" w:hAnsi="Arial" w:cs="Arial"/>
              </w:rPr>
            </w:pPr>
            <w:r>
              <w:rPr>
                <w:rFonts w:ascii="Arial" w:hAnsi="Arial" w:cs="Arial"/>
                <w:b/>
              </w:rPr>
              <w:t>MD</w:t>
            </w:r>
            <w:r w:rsidRPr="004D07E3">
              <w:rPr>
                <w:rFonts w:ascii="Arial" w:hAnsi="Arial" w:cs="Arial"/>
                <w:b/>
              </w:rPr>
              <w:t xml:space="preserve">: </w:t>
            </w:r>
            <w:r>
              <w:rPr>
                <w:rFonts w:ascii="Arial" w:hAnsi="Arial" w:cs="Arial"/>
              </w:rPr>
              <w:t>On February 15, the Maryland Senate voted unanimously to confirm Governor Larry Hogan’s appointment of Jason Stanek to serve as chairman of the Maryland Public Service Commission. Stan</w:t>
            </w:r>
            <w:r w:rsidR="006514E3">
              <w:rPr>
                <w:rFonts w:ascii="Arial" w:hAnsi="Arial" w:cs="Arial"/>
              </w:rPr>
              <w:t xml:space="preserve">ek has been serving on the PSC since his appointment in July 2018 for a term extending to June 2023. </w:t>
            </w:r>
          </w:p>
          <w:p w:rsidR="006514E3" w:rsidRDefault="006514E3" w:rsidP="0061237E">
            <w:pPr>
              <w:rPr>
                <w:rFonts w:ascii="Arial" w:hAnsi="Arial" w:cs="Arial"/>
              </w:rPr>
            </w:pPr>
          </w:p>
          <w:p w:rsidR="006514E3" w:rsidRDefault="006514E3" w:rsidP="0061237E">
            <w:pPr>
              <w:rPr>
                <w:rFonts w:ascii="Arial" w:hAnsi="Arial" w:cs="Arial"/>
              </w:rPr>
            </w:pPr>
            <w:r>
              <w:rPr>
                <w:rFonts w:ascii="Arial" w:hAnsi="Arial" w:cs="Arial"/>
                <w:b/>
              </w:rPr>
              <w:t>MD</w:t>
            </w:r>
            <w:r w:rsidRPr="004D07E3">
              <w:rPr>
                <w:rFonts w:ascii="Arial" w:hAnsi="Arial" w:cs="Arial"/>
                <w:b/>
              </w:rPr>
              <w:t xml:space="preserve">: </w:t>
            </w:r>
            <w:r>
              <w:rPr>
                <w:rFonts w:ascii="Arial" w:hAnsi="Arial" w:cs="Arial"/>
              </w:rPr>
              <w:t>On February 15, Governor Larry Hogan announced that he would be reappointing Commissioner Mindy Herman</w:t>
            </w:r>
            <w:r w:rsidR="00077563">
              <w:rPr>
                <w:rFonts w:ascii="Arial" w:hAnsi="Arial" w:cs="Arial"/>
              </w:rPr>
              <w:t xml:space="preserve">, a Democrat. Herman joined the PSC in September 2017 and is currently serving a term that extends to June 2019. </w:t>
            </w:r>
          </w:p>
          <w:p w:rsidR="005B387C" w:rsidRDefault="005B387C" w:rsidP="0061237E">
            <w:pPr>
              <w:rPr>
                <w:rFonts w:ascii="Arial" w:hAnsi="Arial" w:cs="Arial"/>
              </w:rPr>
            </w:pPr>
            <w:r>
              <w:rPr>
                <w:rFonts w:ascii="Arial" w:hAnsi="Arial" w:cs="Arial"/>
              </w:rPr>
              <w:t xml:space="preserve"> </w:t>
            </w:r>
          </w:p>
          <w:p w:rsidR="003F1C66" w:rsidRDefault="003F1C66" w:rsidP="0061237E">
            <w:pPr>
              <w:rPr>
                <w:rFonts w:ascii="Arial" w:hAnsi="Arial" w:cs="Arial"/>
              </w:rPr>
            </w:pPr>
            <w:r>
              <w:rPr>
                <w:rFonts w:ascii="Arial" w:hAnsi="Arial" w:cs="Arial"/>
                <w:b/>
              </w:rPr>
              <w:t>NV</w:t>
            </w:r>
            <w:r w:rsidRPr="004D07E3">
              <w:rPr>
                <w:rFonts w:ascii="Arial" w:hAnsi="Arial" w:cs="Arial"/>
                <w:b/>
              </w:rPr>
              <w:t xml:space="preserve">: </w:t>
            </w:r>
            <w:r>
              <w:rPr>
                <w:rFonts w:ascii="Arial" w:hAnsi="Arial" w:cs="Arial"/>
              </w:rPr>
              <w:t xml:space="preserve">Commissioner Ann Wilkinson resigned from the Public </w:t>
            </w:r>
            <w:r w:rsidR="00D84EF5">
              <w:rPr>
                <w:rFonts w:ascii="Arial" w:hAnsi="Arial" w:cs="Arial"/>
              </w:rPr>
              <w:t>Utilities</w:t>
            </w:r>
            <w:r>
              <w:rPr>
                <w:rFonts w:ascii="Arial" w:hAnsi="Arial" w:cs="Arial"/>
              </w:rPr>
              <w:t xml:space="preserve"> Commission of Nevada, effective March 22. Wilkinson, who was also the PUC Chairman, was serving a four-year term as commissioner that extends to September 2020. </w:t>
            </w:r>
          </w:p>
          <w:p w:rsidR="00D84EF5" w:rsidRDefault="00D84EF5" w:rsidP="0061237E">
            <w:pPr>
              <w:rPr>
                <w:rFonts w:ascii="Arial" w:hAnsi="Arial" w:cs="Arial"/>
              </w:rPr>
            </w:pPr>
          </w:p>
          <w:p w:rsidR="00D84EF5" w:rsidRDefault="00D84EF5" w:rsidP="0061237E">
            <w:pPr>
              <w:rPr>
                <w:rFonts w:ascii="Arial" w:hAnsi="Arial" w:cs="Arial"/>
              </w:rPr>
            </w:pPr>
            <w:r>
              <w:rPr>
                <w:rFonts w:ascii="Arial" w:hAnsi="Arial" w:cs="Arial"/>
                <w:b/>
              </w:rPr>
              <w:t>UT</w:t>
            </w:r>
            <w:r w:rsidRPr="004D07E3">
              <w:rPr>
                <w:rFonts w:ascii="Arial" w:hAnsi="Arial" w:cs="Arial"/>
                <w:b/>
              </w:rPr>
              <w:t xml:space="preserve">: </w:t>
            </w:r>
            <w:r>
              <w:rPr>
                <w:rFonts w:ascii="Arial" w:hAnsi="Arial" w:cs="Arial"/>
              </w:rPr>
              <w:t xml:space="preserve">On March 1, David Clark began serving a second six-year term on the Public Service Commission of </w:t>
            </w:r>
            <w:proofErr w:type="spellStart"/>
            <w:r>
              <w:rPr>
                <w:rFonts w:ascii="Arial" w:hAnsi="Arial" w:cs="Arial"/>
              </w:rPr>
              <w:t>Utan</w:t>
            </w:r>
            <w:proofErr w:type="spellEnd"/>
            <w:r>
              <w:rPr>
                <w:rFonts w:ascii="Arial" w:hAnsi="Arial" w:cs="Arial"/>
              </w:rPr>
              <w:t xml:space="preserve"> that extends to March 2025. This action follows his recent reappointment by Governor Gary Herbert and his February 5 confirmation by the Utah Senate. </w:t>
            </w:r>
          </w:p>
          <w:p w:rsidR="005B387C" w:rsidRDefault="005B387C" w:rsidP="0061237E">
            <w:pPr>
              <w:rPr>
                <w:rFonts w:ascii="Arial" w:hAnsi="Arial" w:cs="Arial"/>
                <w:b/>
              </w:rPr>
            </w:pPr>
          </w:p>
          <w:p w:rsidR="007318E6" w:rsidRDefault="004D07E3" w:rsidP="0061237E">
            <w:pPr>
              <w:rPr>
                <w:rFonts w:ascii="Arial" w:hAnsi="Arial" w:cs="Arial"/>
              </w:rPr>
            </w:pPr>
            <w:r>
              <w:rPr>
                <w:rFonts w:ascii="Arial" w:hAnsi="Arial" w:cs="Arial"/>
                <w:b/>
              </w:rPr>
              <w:t>WA</w:t>
            </w:r>
            <w:r w:rsidR="00933722" w:rsidRPr="004D07E3">
              <w:rPr>
                <w:rFonts w:ascii="Arial" w:hAnsi="Arial" w:cs="Arial"/>
                <w:b/>
              </w:rPr>
              <w:t xml:space="preserve">: </w:t>
            </w:r>
            <w:r w:rsidR="00D84EF5">
              <w:rPr>
                <w:rFonts w:ascii="Arial" w:hAnsi="Arial" w:cs="Arial"/>
              </w:rPr>
              <w:t>On March 1, the Washington Senate confirmed the December 2018 reappointment of David Danner by Governor Jay Inslee to the Washington Utilities and Transportation Commission for a new six-year term as commissioner that extends to January 1, 2025. Danner has been designated by Inslee to continue to serve as commission chair, a position he has held since 2013.</w:t>
            </w:r>
          </w:p>
          <w:p w:rsidR="007318E6" w:rsidRDefault="007318E6" w:rsidP="0061237E">
            <w:pPr>
              <w:rPr>
                <w:rFonts w:ascii="Arial" w:hAnsi="Arial" w:cs="Arial"/>
              </w:rPr>
            </w:pPr>
          </w:p>
          <w:p w:rsidR="00E06C5F" w:rsidRPr="004D07E3" w:rsidRDefault="007318E6" w:rsidP="0061237E">
            <w:pPr>
              <w:rPr>
                <w:rFonts w:ascii="Arial" w:hAnsi="Arial" w:cs="Arial"/>
              </w:rPr>
            </w:pPr>
            <w:r>
              <w:rPr>
                <w:rFonts w:ascii="Arial" w:hAnsi="Arial" w:cs="Arial"/>
                <w:b/>
              </w:rPr>
              <w:t>WI</w:t>
            </w:r>
            <w:r w:rsidRPr="004D07E3">
              <w:rPr>
                <w:rFonts w:ascii="Arial" w:hAnsi="Arial" w:cs="Arial"/>
                <w:b/>
              </w:rPr>
              <w:t xml:space="preserve">: </w:t>
            </w:r>
            <w:r>
              <w:rPr>
                <w:rFonts w:ascii="Arial" w:hAnsi="Arial" w:cs="Arial"/>
              </w:rPr>
              <w:t>Wisconsin Governor Tony Evers rescinded the appointment by his predecessor of Ellen Nowak to the Public Service Commission of Wisconsin. The govern</w:t>
            </w:r>
            <w:r w:rsidR="00115F59">
              <w:rPr>
                <w:rFonts w:ascii="Arial" w:hAnsi="Arial" w:cs="Arial"/>
              </w:rPr>
              <w:t xml:space="preserve">or rescinded scores of appointments made by former Republican Governor Scott Walker after a circuit court judge on March 21 ruled that a lame-duck extraordinary session by the Wisconsin Legislature was illegally convened. </w:t>
            </w:r>
            <w:r w:rsidR="005B387C">
              <w:rPr>
                <w:rFonts w:ascii="Arial" w:hAnsi="Arial" w:cs="Arial"/>
              </w:rPr>
              <w:t xml:space="preserve"> </w:t>
            </w:r>
            <w:r w:rsidR="00E06C5F" w:rsidRPr="004D07E3">
              <w:rPr>
                <w:rFonts w:ascii="Arial" w:hAnsi="Arial" w:cs="Arial"/>
              </w:rPr>
              <w:t xml:space="preserve"> </w:t>
            </w:r>
          </w:p>
          <w:p w:rsidR="000C70F8" w:rsidRPr="00F31B28" w:rsidRDefault="000C70F8" w:rsidP="0061237E">
            <w:pPr>
              <w:rPr>
                <w:rFonts w:ascii="Arial" w:hAnsi="Arial" w:cs="Arial"/>
                <w:b/>
                <w:u w:val="single"/>
              </w:rPr>
            </w:pPr>
          </w:p>
          <w:p w:rsidR="008A2C67" w:rsidRPr="00F31B28" w:rsidRDefault="008A2C67" w:rsidP="0061237E">
            <w:pPr>
              <w:rPr>
                <w:rFonts w:ascii="Arial" w:hAnsi="Arial" w:cs="Arial"/>
                <w:b/>
                <w:u w:val="single"/>
              </w:rPr>
            </w:pPr>
            <w:r w:rsidRPr="00F31B28">
              <w:rPr>
                <w:rFonts w:ascii="Arial" w:hAnsi="Arial" w:cs="Arial"/>
                <w:b/>
                <w:u w:val="single"/>
              </w:rPr>
              <w:t xml:space="preserve">Other Noteworthy Regulatory Action </w:t>
            </w:r>
          </w:p>
          <w:p w:rsidR="00E848FE" w:rsidRDefault="00C11406" w:rsidP="0061237E">
            <w:pPr>
              <w:rPr>
                <w:rFonts w:ascii="Arial" w:hAnsi="Arial" w:cs="Arial"/>
              </w:rPr>
            </w:pPr>
            <w:r w:rsidRPr="00F31B28">
              <w:rPr>
                <w:rFonts w:ascii="Arial" w:hAnsi="Arial" w:cs="Arial"/>
                <w:b/>
              </w:rPr>
              <w:t>The following companies initiated rate proceedings</w:t>
            </w:r>
            <w:r w:rsidR="00E848FE" w:rsidRPr="00F31B28">
              <w:rPr>
                <w:rFonts w:ascii="Arial" w:hAnsi="Arial" w:cs="Arial"/>
                <w:b/>
              </w:rPr>
              <w:t xml:space="preserve"> during Q1 201</w:t>
            </w:r>
            <w:r w:rsidR="00697541" w:rsidRPr="00F31B28">
              <w:rPr>
                <w:rFonts w:ascii="Arial" w:hAnsi="Arial" w:cs="Arial"/>
                <w:b/>
              </w:rPr>
              <w:t>9</w:t>
            </w:r>
            <w:r w:rsidR="00E848FE" w:rsidRPr="00F31B28">
              <w:rPr>
                <w:rFonts w:ascii="Arial" w:hAnsi="Arial" w:cs="Arial"/>
                <w:b/>
              </w:rPr>
              <w:t xml:space="preserve">:  </w:t>
            </w:r>
            <w:r w:rsidR="001C536A" w:rsidRPr="00F31B28">
              <w:rPr>
                <w:rFonts w:ascii="Arial" w:hAnsi="Arial" w:cs="Arial"/>
              </w:rPr>
              <w:t>UGI Utilities Inc. (PA)</w:t>
            </w:r>
            <w:r w:rsidR="000A61AA" w:rsidRPr="00F31B28">
              <w:rPr>
                <w:rFonts w:ascii="Arial" w:hAnsi="Arial" w:cs="Arial"/>
              </w:rPr>
              <w:t xml:space="preserve">, Consolidated Edison Co. of NY (NY), Black Hills Colorado Gas Inc. (CO), Atmos Energy Corp. (KS), Atmos Energy Corp. (TN), Piedmont Natural Gas Co. (NC), </w:t>
            </w:r>
            <w:r w:rsidR="00AC312F" w:rsidRPr="00F31B28">
              <w:rPr>
                <w:rFonts w:ascii="Arial" w:hAnsi="Arial" w:cs="Arial"/>
              </w:rPr>
              <w:t xml:space="preserve">Interstate Power and Light Co. (IA), Mountaineer Gas Co, (WV), CenterPoint Energy Resources (OK), </w:t>
            </w:r>
            <w:r w:rsidR="002C41A8" w:rsidRPr="00F31B28">
              <w:rPr>
                <w:rFonts w:ascii="Arial" w:hAnsi="Arial" w:cs="Arial"/>
              </w:rPr>
              <w:t xml:space="preserve">Oklahoma Natural Gas Co. (OK), </w:t>
            </w:r>
            <w:proofErr w:type="spellStart"/>
            <w:r w:rsidR="002C41A8" w:rsidRPr="00F31B28">
              <w:rPr>
                <w:rFonts w:ascii="Arial" w:hAnsi="Arial" w:cs="Arial"/>
              </w:rPr>
              <w:t>Avista</w:t>
            </w:r>
            <w:proofErr w:type="spellEnd"/>
            <w:r w:rsidR="002C41A8" w:rsidRPr="00F31B28">
              <w:rPr>
                <w:rFonts w:ascii="Arial" w:hAnsi="Arial" w:cs="Arial"/>
              </w:rPr>
              <w:t xml:space="preserve"> Corp. (OR), New Jersey Natural Gas Co. (NJ), Wisconsin Public Service Corp, (WI), Cascade Natural Gas Corp. (WA)</w:t>
            </w:r>
            <w:r w:rsidR="00CC21DD">
              <w:rPr>
                <w:rFonts w:ascii="Arial" w:hAnsi="Arial" w:cs="Arial"/>
              </w:rPr>
              <w:t xml:space="preserve"> </w:t>
            </w:r>
          </w:p>
          <w:p w:rsidR="00513417" w:rsidRDefault="00513417" w:rsidP="0061237E">
            <w:pPr>
              <w:rPr>
                <w:rFonts w:ascii="Arial" w:hAnsi="Arial" w:cs="Arial"/>
              </w:rPr>
            </w:pPr>
          </w:p>
          <w:p w:rsidR="00513417" w:rsidRPr="00E848FE" w:rsidRDefault="00513417" w:rsidP="0061237E">
            <w:pPr>
              <w:rPr>
                <w:rFonts w:ascii="Arial" w:hAnsi="Arial" w:cs="Arial"/>
              </w:rPr>
            </w:pPr>
          </w:p>
          <w:p w:rsidR="003A0B49" w:rsidRDefault="003A0B49" w:rsidP="0061237E">
            <w:pPr>
              <w:rPr>
                <w:rFonts w:ascii="Arial" w:hAnsi="Arial" w:cs="Arial"/>
                <w:b/>
                <w:u w:val="single"/>
              </w:rPr>
            </w:pPr>
          </w:p>
          <w:p w:rsidR="0066650B" w:rsidRDefault="0066650B" w:rsidP="0061237E">
            <w:pPr>
              <w:rPr>
                <w:rFonts w:ascii="Arial" w:hAnsi="Arial" w:cs="Arial"/>
                <w:b/>
                <w:u w:val="single"/>
              </w:rPr>
            </w:pPr>
            <w:r>
              <w:rPr>
                <w:rFonts w:ascii="Arial" w:hAnsi="Arial" w:cs="Arial"/>
                <w:b/>
                <w:u w:val="single"/>
              </w:rPr>
              <w:lastRenderedPageBreak/>
              <w:t>M&amp;A Activity</w:t>
            </w:r>
          </w:p>
          <w:p w:rsidR="006D592F" w:rsidRDefault="00902341" w:rsidP="00D00B2C">
            <w:pPr>
              <w:rPr>
                <w:rFonts w:ascii="Arial" w:hAnsi="Arial" w:cs="Arial"/>
                <w:b/>
              </w:rPr>
            </w:pPr>
            <w:r>
              <w:rPr>
                <w:rFonts w:ascii="Arial" w:hAnsi="Arial" w:cs="Arial"/>
                <w:b/>
              </w:rPr>
              <w:t xml:space="preserve">PA: </w:t>
            </w:r>
            <w:r w:rsidR="002640CD">
              <w:rPr>
                <w:rFonts w:ascii="Arial" w:hAnsi="Arial" w:cs="Arial"/>
                <w:b/>
              </w:rPr>
              <w:t>Aqua America Inc./Peoples Natural Gas Co. LLC</w:t>
            </w:r>
          </w:p>
          <w:p w:rsidR="00FC5229" w:rsidRDefault="00D26C90" w:rsidP="00D00B2C">
            <w:pPr>
              <w:rPr>
                <w:rFonts w:ascii="Arial" w:hAnsi="Arial" w:cs="Arial"/>
              </w:rPr>
            </w:pPr>
            <w:r>
              <w:rPr>
                <w:rFonts w:ascii="Arial" w:hAnsi="Arial" w:cs="Arial"/>
              </w:rPr>
              <w:t xml:space="preserve">On January 18, the Pennsylvania Public Utility Commission scheduled a prehearing conference to set rules for its review of the proposed acquisition of Peoples Natural Gas Co. LLC and its Pennsylvania subsidiaries by Aqua America Inc. </w:t>
            </w:r>
          </w:p>
          <w:p w:rsidR="00902341" w:rsidRDefault="00902341" w:rsidP="00D00B2C">
            <w:pPr>
              <w:rPr>
                <w:rFonts w:ascii="Arial" w:hAnsi="Arial" w:cs="Arial"/>
              </w:rPr>
            </w:pPr>
          </w:p>
          <w:p w:rsidR="00902341" w:rsidRDefault="00902341" w:rsidP="00902341">
            <w:pPr>
              <w:rPr>
                <w:rFonts w:ascii="Arial" w:hAnsi="Arial" w:cs="Arial"/>
                <w:b/>
              </w:rPr>
            </w:pPr>
            <w:r>
              <w:rPr>
                <w:rFonts w:ascii="Arial" w:hAnsi="Arial" w:cs="Arial"/>
                <w:b/>
              </w:rPr>
              <w:t xml:space="preserve">IN/OH: </w:t>
            </w:r>
            <w:r w:rsidR="002A1A53">
              <w:rPr>
                <w:rFonts w:ascii="Arial" w:hAnsi="Arial" w:cs="Arial"/>
                <w:b/>
              </w:rPr>
              <w:t>CenterPoint Energy Inc./Vectren Corp.</w:t>
            </w:r>
          </w:p>
          <w:p w:rsidR="00902341" w:rsidRPr="00FC5229" w:rsidRDefault="002A1A53" w:rsidP="00902341">
            <w:pPr>
              <w:rPr>
                <w:rFonts w:ascii="Arial" w:hAnsi="Arial" w:cs="Arial"/>
              </w:rPr>
            </w:pPr>
            <w:r>
              <w:rPr>
                <w:rFonts w:ascii="Arial" w:hAnsi="Arial" w:cs="Arial"/>
              </w:rPr>
              <w:t xml:space="preserve">While CenterPoint Energy Inc.’s proposed acquisition of Vectren Corp. did not require approval from the Indiana Utility Regulatory Commission, the commission said in an order issued on January 16 that it “appreciates” the information that the companies submitted for review. The Public Utilities Commission of Ohio signed off on the proposed acquisition on January 30. They were the only remaining regulatory approval required before the transition could be completed. </w:t>
            </w:r>
          </w:p>
          <w:p w:rsidR="00D00B2C" w:rsidRDefault="00D00B2C" w:rsidP="00AC43F3">
            <w:pPr>
              <w:rPr>
                <w:rFonts w:ascii="Arial" w:hAnsi="Arial" w:cs="Arial"/>
              </w:rPr>
            </w:pPr>
          </w:p>
          <w:p w:rsidR="00940660" w:rsidRDefault="00940660" w:rsidP="00940660">
            <w:pPr>
              <w:rPr>
                <w:rFonts w:ascii="Arial" w:hAnsi="Arial" w:cs="Arial"/>
                <w:b/>
              </w:rPr>
            </w:pPr>
            <w:r>
              <w:rPr>
                <w:rFonts w:ascii="Arial" w:hAnsi="Arial" w:cs="Arial"/>
                <w:b/>
              </w:rPr>
              <w:t>ID/WA/OR: Hydro One Ltd./</w:t>
            </w:r>
            <w:proofErr w:type="spellStart"/>
            <w:r>
              <w:rPr>
                <w:rFonts w:ascii="Arial" w:hAnsi="Arial" w:cs="Arial"/>
                <w:b/>
              </w:rPr>
              <w:t>Avista</w:t>
            </w:r>
            <w:proofErr w:type="spellEnd"/>
            <w:r>
              <w:rPr>
                <w:rFonts w:ascii="Arial" w:hAnsi="Arial" w:cs="Arial"/>
                <w:b/>
              </w:rPr>
              <w:t xml:space="preserve"> Corp. </w:t>
            </w:r>
          </w:p>
          <w:p w:rsidR="00940660" w:rsidRDefault="00940660" w:rsidP="00940660">
            <w:pPr>
              <w:rPr>
                <w:rFonts w:ascii="Arial" w:hAnsi="Arial" w:cs="Arial"/>
              </w:rPr>
            </w:pPr>
            <w:r>
              <w:rPr>
                <w:rFonts w:ascii="Arial" w:hAnsi="Arial" w:cs="Arial"/>
              </w:rPr>
              <w:t xml:space="preserve">On January 3, the Idaho Public Utilities Commission, in a final order, rejected the merger application citing a state law that bars the transaction due to the Ontario government’s control of Hydro One and a post-acquisition </w:t>
            </w:r>
            <w:proofErr w:type="spellStart"/>
            <w:r>
              <w:rPr>
                <w:rFonts w:ascii="Arial" w:hAnsi="Arial" w:cs="Arial"/>
              </w:rPr>
              <w:t>Avista</w:t>
            </w:r>
            <w:proofErr w:type="spellEnd"/>
            <w:r>
              <w:rPr>
                <w:rFonts w:ascii="Arial" w:hAnsi="Arial" w:cs="Arial"/>
              </w:rPr>
              <w:t xml:space="preserve">. The Washington Utilities and Transportation Commission effectively denied a petition for reconsideration and rehearing by taking no action on the matter. The Oregon Public Utility Commission suspended the merger proceeding indefinitely on January 14 due to the rejections dealt by the Idaho and Washington commissions. </w:t>
            </w:r>
          </w:p>
          <w:p w:rsidR="006A307B" w:rsidRDefault="006A307B" w:rsidP="00940660">
            <w:pPr>
              <w:rPr>
                <w:rFonts w:ascii="Arial" w:hAnsi="Arial" w:cs="Arial"/>
              </w:rPr>
            </w:pPr>
          </w:p>
          <w:p w:rsidR="006A307B" w:rsidRDefault="006A307B" w:rsidP="00940660">
            <w:pPr>
              <w:rPr>
                <w:rFonts w:ascii="Arial" w:hAnsi="Arial" w:cs="Arial"/>
              </w:rPr>
            </w:pPr>
            <w:r>
              <w:rPr>
                <w:rFonts w:ascii="Arial" w:hAnsi="Arial" w:cs="Arial"/>
              </w:rPr>
              <w:t xml:space="preserve">On January 23, </w:t>
            </w:r>
            <w:proofErr w:type="spellStart"/>
            <w:r>
              <w:rPr>
                <w:rFonts w:ascii="Arial" w:hAnsi="Arial" w:cs="Arial"/>
              </w:rPr>
              <w:t>Avista</w:t>
            </w:r>
            <w:proofErr w:type="spellEnd"/>
            <w:r>
              <w:rPr>
                <w:rFonts w:ascii="Arial" w:hAnsi="Arial" w:cs="Arial"/>
              </w:rPr>
              <w:t xml:space="preserve"> and Hydro One announced that they terminated their proposed $5.3 billion merger. </w:t>
            </w:r>
          </w:p>
          <w:p w:rsidR="00940660" w:rsidRPr="00B51D1F" w:rsidRDefault="00940660" w:rsidP="00940660">
            <w:pPr>
              <w:rPr>
                <w:rFonts w:ascii="Arial" w:hAnsi="Arial" w:cs="Arial"/>
              </w:rPr>
            </w:pPr>
          </w:p>
        </w:tc>
      </w:tr>
      <w:tr w:rsidR="00DE3CEE" w:rsidRPr="00B51D1F" w:rsidTr="004E793E">
        <w:trPr>
          <w:trHeight w:val="279"/>
        </w:trPr>
        <w:tc>
          <w:tcPr>
            <w:tcW w:w="9895" w:type="dxa"/>
            <w:gridSpan w:val="2"/>
            <w:tcBorders>
              <w:top w:val="nil"/>
            </w:tcBorders>
            <w:shd w:val="clear" w:color="auto" w:fill="1F4E79" w:themeFill="accent1" w:themeFillShade="80"/>
          </w:tcPr>
          <w:p w:rsidR="00DE3CEE" w:rsidRPr="001F5597" w:rsidRDefault="001A22FE" w:rsidP="001A22FE">
            <w:pPr>
              <w:jc w:val="center"/>
              <w:rPr>
                <w:rFonts w:ascii="Arial" w:hAnsi="Arial" w:cs="Arial"/>
                <w:b/>
                <w:color w:val="FFFFFF" w:themeColor="background1"/>
                <w:sz w:val="36"/>
                <w:szCs w:val="36"/>
              </w:rPr>
            </w:pPr>
            <w:r w:rsidRPr="001F5597">
              <w:rPr>
                <w:rFonts w:ascii="Arial" w:hAnsi="Arial" w:cs="Arial"/>
                <w:b/>
                <w:color w:val="FFFFFF" w:themeColor="background1"/>
                <w:sz w:val="36"/>
                <w:szCs w:val="36"/>
              </w:rPr>
              <w:lastRenderedPageBreak/>
              <w:t xml:space="preserve">Rate Case Decisions </w:t>
            </w:r>
          </w:p>
        </w:tc>
      </w:tr>
      <w:tr w:rsidR="009B2D68" w:rsidRPr="00B51D1F" w:rsidTr="004E793E">
        <w:trPr>
          <w:trHeight w:val="279"/>
        </w:trPr>
        <w:tc>
          <w:tcPr>
            <w:tcW w:w="9895" w:type="dxa"/>
            <w:gridSpan w:val="2"/>
            <w:shd w:val="clear" w:color="auto" w:fill="1F4E79" w:themeFill="accent1" w:themeFillShade="80"/>
          </w:tcPr>
          <w:p w:rsidR="009B2D68" w:rsidRPr="00B51D1F" w:rsidRDefault="000C04F6" w:rsidP="00376064">
            <w:pPr>
              <w:jc w:val="center"/>
              <w:rPr>
                <w:rFonts w:ascii="Arial" w:hAnsi="Arial" w:cs="Arial"/>
                <w:b/>
                <w:color w:val="FFFFFF" w:themeColor="background1"/>
              </w:rPr>
            </w:pPr>
            <w:r>
              <w:rPr>
                <w:rFonts w:ascii="Arial" w:hAnsi="Arial" w:cs="Arial"/>
                <w:b/>
                <w:color w:val="FFFFFF" w:themeColor="background1"/>
              </w:rPr>
              <w:t>January 4, 2019</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auto"/>
          </w:tcPr>
          <w:p w:rsidR="009B2D68" w:rsidRPr="00B51D1F" w:rsidRDefault="000C04F6" w:rsidP="00C03B0F">
            <w:pPr>
              <w:rPr>
                <w:rFonts w:ascii="Arial" w:hAnsi="Arial" w:cs="Arial"/>
              </w:rPr>
            </w:pPr>
            <w:r>
              <w:rPr>
                <w:rFonts w:ascii="Arial" w:hAnsi="Arial" w:cs="Arial"/>
              </w:rPr>
              <w:t>Baltimore Gas and Electric Company</w:t>
            </w:r>
          </w:p>
        </w:tc>
      </w:tr>
      <w:tr w:rsidR="009B2D68" w:rsidRPr="00B51D1F" w:rsidTr="002E5982">
        <w:trPr>
          <w:trHeight w:val="279"/>
        </w:trPr>
        <w:tc>
          <w:tcPr>
            <w:tcW w:w="2245" w:type="dxa"/>
            <w:shd w:val="clear" w:color="auto" w:fill="1F4E79" w:themeFill="accent1" w:themeFillShade="80"/>
          </w:tcPr>
          <w:p w:rsidR="009B2D68" w:rsidRPr="00B51D1F" w:rsidRDefault="003A0B49" w:rsidP="005A2F42">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auto"/>
          </w:tcPr>
          <w:p w:rsidR="009B2D68" w:rsidRPr="00B51D1F" w:rsidRDefault="000C04F6" w:rsidP="00CD3DC9">
            <w:pPr>
              <w:rPr>
                <w:rFonts w:ascii="Arial" w:hAnsi="Arial" w:cs="Arial"/>
              </w:rPr>
            </w:pPr>
            <w:r>
              <w:rPr>
                <w:rFonts w:ascii="Arial" w:hAnsi="Arial" w:cs="Arial"/>
              </w:rPr>
              <w:t>Maryland</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auto"/>
          </w:tcPr>
          <w:p w:rsidR="009B2D68" w:rsidRPr="00E40DE3" w:rsidRDefault="00513417" w:rsidP="004262A4">
            <w:pPr>
              <w:rPr>
                <w:rFonts w:ascii="Arial" w:hAnsi="Arial" w:cs="Arial"/>
                <w:color w:val="0000FF"/>
              </w:rPr>
            </w:pPr>
            <w:hyperlink r:id="rId9" w:history="1">
              <w:r w:rsidR="00DF3D56" w:rsidRPr="00306EF7">
                <w:rPr>
                  <w:rStyle w:val="Hyperlink"/>
                  <w:rFonts w:ascii="Arial" w:hAnsi="Arial" w:cs="Arial"/>
                </w:rPr>
                <w:t>C-9484</w:t>
              </w:r>
            </w:hyperlink>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auto"/>
          </w:tcPr>
          <w:p w:rsidR="009B2D68" w:rsidRPr="00B51D1F" w:rsidRDefault="00CC5CE8" w:rsidP="006F213E">
            <w:pPr>
              <w:rPr>
                <w:rFonts w:ascii="Arial" w:hAnsi="Arial" w:cs="Arial"/>
              </w:rPr>
            </w:pPr>
            <w:r>
              <w:rPr>
                <w:rFonts w:ascii="Arial" w:hAnsi="Arial" w:cs="Arial"/>
              </w:rPr>
              <w:t>$64.9 Million (</w:t>
            </w:r>
            <w:r w:rsidR="00DF3D56">
              <w:rPr>
                <w:rFonts w:ascii="Arial" w:hAnsi="Arial" w:cs="Arial"/>
              </w:rPr>
              <w:t>$</w:t>
            </w:r>
            <w:r>
              <w:rPr>
                <w:rFonts w:ascii="Arial" w:hAnsi="Arial" w:cs="Arial"/>
              </w:rPr>
              <w:t>85 Million requested)</w:t>
            </w:r>
          </w:p>
        </w:tc>
      </w:tr>
      <w:tr w:rsidR="009B2D68" w:rsidRPr="00B51D1F" w:rsidTr="002E5982">
        <w:trPr>
          <w:trHeight w:val="279"/>
        </w:trPr>
        <w:tc>
          <w:tcPr>
            <w:tcW w:w="2245" w:type="dxa"/>
            <w:shd w:val="clear" w:color="auto" w:fill="1F4E79" w:themeFill="accent1" w:themeFillShade="80"/>
          </w:tcPr>
          <w:p w:rsidR="009B2D68" w:rsidRPr="00B51D1F" w:rsidRDefault="009B2D68" w:rsidP="005A2F42">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auto"/>
          </w:tcPr>
          <w:p w:rsidR="009B2D68" w:rsidRPr="00B51D1F" w:rsidRDefault="00CC5CE8" w:rsidP="005D2082">
            <w:pPr>
              <w:rPr>
                <w:rFonts w:ascii="Arial" w:hAnsi="Arial" w:cs="Arial"/>
              </w:rPr>
            </w:pPr>
            <w:r>
              <w:rPr>
                <w:rFonts w:ascii="Arial" w:hAnsi="Arial" w:cs="Arial"/>
              </w:rPr>
              <w:t>9.8%</w:t>
            </w:r>
          </w:p>
        </w:tc>
      </w:tr>
      <w:tr w:rsidR="005A2F42" w:rsidRPr="00B51D1F" w:rsidTr="002E5982">
        <w:trPr>
          <w:trHeight w:val="279"/>
        </w:trPr>
        <w:tc>
          <w:tcPr>
            <w:tcW w:w="2245" w:type="dxa"/>
            <w:shd w:val="clear" w:color="auto" w:fill="1F4E79" w:themeFill="accent1" w:themeFillShade="80"/>
          </w:tcPr>
          <w:p w:rsidR="005A2F42" w:rsidRPr="00B51D1F" w:rsidRDefault="005A2F42" w:rsidP="005A2F42">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auto"/>
          </w:tcPr>
          <w:p w:rsidR="005A2F42" w:rsidRPr="00B51D1F" w:rsidRDefault="00012F7E" w:rsidP="00FD1550">
            <w:pPr>
              <w:rPr>
                <w:rFonts w:ascii="Arial" w:hAnsi="Arial" w:cs="Arial"/>
              </w:rPr>
            </w:pPr>
            <w:r>
              <w:rPr>
                <w:rFonts w:ascii="Arial" w:hAnsi="Arial" w:cs="Arial"/>
              </w:rPr>
              <w:t xml:space="preserve">Maryland </w:t>
            </w:r>
            <w:r w:rsidR="00A030C2">
              <w:rPr>
                <w:rFonts w:ascii="Arial" w:hAnsi="Arial" w:cs="Arial"/>
              </w:rPr>
              <w:t>Office of People’s Council (OPC)</w:t>
            </w:r>
          </w:p>
        </w:tc>
      </w:tr>
      <w:tr w:rsidR="005A2F42" w:rsidRPr="00B51D1F" w:rsidTr="004E793E">
        <w:trPr>
          <w:trHeight w:val="287"/>
        </w:trPr>
        <w:tc>
          <w:tcPr>
            <w:tcW w:w="9895" w:type="dxa"/>
            <w:gridSpan w:val="2"/>
            <w:shd w:val="clear" w:color="auto" w:fill="1F4E79" w:themeFill="accent1" w:themeFillShade="80"/>
          </w:tcPr>
          <w:p w:rsidR="005A2F42" w:rsidRPr="00B51D1F" w:rsidRDefault="005A2F42" w:rsidP="009B2D68">
            <w:pPr>
              <w:jc w:val="center"/>
              <w:rPr>
                <w:rFonts w:ascii="Arial" w:hAnsi="Arial" w:cs="Arial"/>
                <w:b/>
                <w:color w:val="FFFFFF" w:themeColor="background1"/>
              </w:rPr>
            </w:pPr>
            <w:r w:rsidRPr="00B51D1F">
              <w:rPr>
                <w:rFonts w:ascii="Arial" w:hAnsi="Arial" w:cs="Arial"/>
                <w:b/>
                <w:color w:val="FFFFFF" w:themeColor="background1"/>
              </w:rPr>
              <w:t>Case Summary</w:t>
            </w:r>
          </w:p>
        </w:tc>
      </w:tr>
      <w:tr w:rsidR="005A2F42" w:rsidRPr="00B51D1F" w:rsidTr="004E793E">
        <w:trPr>
          <w:trHeight w:val="279"/>
        </w:trPr>
        <w:tc>
          <w:tcPr>
            <w:tcW w:w="9895" w:type="dxa"/>
            <w:gridSpan w:val="2"/>
            <w:shd w:val="clear" w:color="auto" w:fill="auto"/>
          </w:tcPr>
          <w:p w:rsidR="000C04F6" w:rsidRDefault="006501D8" w:rsidP="000C04F6">
            <w:pPr>
              <w:rPr>
                <w:rFonts w:ascii="Arial" w:hAnsi="Arial" w:cs="Arial"/>
              </w:rPr>
            </w:pPr>
            <w:r>
              <w:rPr>
                <w:rFonts w:ascii="Arial" w:hAnsi="Arial" w:cs="Arial"/>
              </w:rPr>
              <w:t xml:space="preserve">On January 4, 2019, the Maryland Public Service Commission </w:t>
            </w:r>
            <w:r w:rsidR="00CC5CE8">
              <w:rPr>
                <w:rFonts w:ascii="Arial" w:hAnsi="Arial" w:cs="Arial"/>
              </w:rPr>
              <w:t>authorized Baltimore Gas &amp; Electric Company</w:t>
            </w:r>
            <w:r w:rsidR="00EE4F12">
              <w:rPr>
                <w:rFonts w:ascii="Arial" w:hAnsi="Arial" w:cs="Arial"/>
              </w:rPr>
              <w:t>, a subsidiary of Exelon,</w:t>
            </w:r>
            <w:r w:rsidR="00CC5CE8">
              <w:rPr>
                <w:rFonts w:ascii="Arial" w:hAnsi="Arial" w:cs="Arial"/>
              </w:rPr>
              <w:t xml:space="preserve"> a </w:t>
            </w:r>
            <w:r w:rsidR="00DF3D56">
              <w:rPr>
                <w:rFonts w:ascii="Arial" w:hAnsi="Arial" w:cs="Arial"/>
              </w:rPr>
              <w:t>$64.4 million rate increase</w:t>
            </w:r>
            <w:r w:rsidR="00EE4F12">
              <w:rPr>
                <w:rFonts w:ascii="Arial" w:hAnsi="Arial" w:cs="Arial"/>
              </w:rPr>
              <w:t>, which went into effect immediately.</w:t>
            </w:r>
            <w:r w:rsidR="00DF3D56">
              <w:rPr>
                <w:rFonts w:ascii="Arial" w:hAnsi="Arial" w:cs="Arial"/>
              </w:rPr>
              <w:t xml:space="preserve"> </w:t>
            </w:r>
          </w:p>
          <w:p w:rsidR="00DF3D56" w:rsidRDefault="00DF3D56" w:rsidP="000C04F6">
            <w:pPr>
              <w:rPr>
                <w:rFonts w:ascii="Arial" w:hAnsi="Arial" w:cs="Arial"/>
              </w:rPr>
            </w:pPr>
          </w:p>
          <w:p w:rsidR="00DF3D56" w:rsidRDefault="00DF3D56" w:rsidP="000C04F6">
            <w:pPr>
              <w:rPr>
                <w:rFonts w:ascii="Arial" w:hAnsi="Arial" w:cs="Arial"/>
              </w:rPr>
            </w:pPr>
            <w:r>
              <w:rPr>
                <w:rFonts w:ascii="Arial" w:hAnsi="Arial" w:cs="Arial"/>
              </w:rPr>
              <w:t xml:space="preserve">Baltimore Gas &amp; Electric </w:t>
            </w:r>
            <w:r w:rsidR="003242BD">
              <w:rPr>
                <w:rFonts w:ascii="Arial" w:hAnsi="Arial" w:cs="Arial"/>
              </w:rPr>
              <w:t>filed a request with the Maryland PSC for an $85 million base rate increase</w:t>
            </w:r>
            <w:r w:rsidR="00C077D4">
              <w:rPr>
                <w:rFonts w:ascii="Arial" w:hAnsi="Arial" w:cs="Arial"/>
              </w:rPr>
              <w:t xml:space="preserve"> on June 8, 2018 – this increase included $21.7 million being collected through </w:t>
            </w:r>
            <w:r w:rsidR="00C14104">
              <w:rPr>
                <w:rFonts w:ascii="Arial" w:hAnsi="Arial" w:cs="Arial"/>
              </w:rPr>
              <w:t>the recently re-approved</w:t>
            </w:r>
            <w:r w:rsidR="00C077D4">
              <w:rPr>
                <w:rFonts w:ascii="Arial" w:hAnsi="Arial" w:cs="Arial"/>
              </w:rPr>
              <w:t xml:space="preserve"> Strategic Infrastructure Development and Enhancement (STRIDE) rider</w:t>
            </w:r>
            <w:r w:rsidR="00C14104">
              <w:rPr>
                <w:rFonts w:ascii="Arial" w:hAnsi="Arial" w:cs="Arial"/>
              </w:rPr>
              <w:t>, under which BG&amp;E will implement accelerated replacement or cast i</w:t>
            </w:r>
            <w:r w:rsidR="00EE4F12">
              <w:rPr>
                <w:rFonts w:ascii="Arial" w:hAnsi="Arial" w:cs="Arial"/>
              </w:rPr>
              <w:t>r</w:t>
            </w:r>
            <w:r w:rsidR="00C14104">
              <w:rPr>
                <w:rFonts w:ascii="Arial" w:hAnsi="Arial" w:cs="Arial"/>
              </w:rPr>
              <w:t xml:space="preserve">on </w:t>
            </w:r>
            <w:r w:rsidR="00EE4F12">
              <w:rPr>
                <w:rFonts w:ascii="Arial" w:hAnsi="Arial" w:cs="Arial"/>
              </w:rPr>
              <w:t xml:space="preserve">and bare steel </w:t>
            </w:r>
            <w:r w:rsidR="00C14104">
              <w:rPr>
                <w:rFonts w:ascii="Arial" w:hAnsi="Arial" w:cs="Arial"/>
              </w:rPr>
              <w:t>mains,</w:t>
            </w:r>
            <w:r w:rsidR="00EE4F12">
              <w:rPr>
                <w:rFonts w:ascii="Arial" w:hAnsi="Arial" w:cs="Arial"/>
              </w:rPr>
              <w:t xml:space="preserve"> </w:t>
            </w:r>
            <w:r w:rsidR="00C14104">
              <w:rPr>
                <w:rFonts w:ascii="Arial" w:hAnsi="Arial" w:cs="Arial"/>
              </w:rPr>
              <w:t xml:space="preserve">bare steel and cooper services, and any pre-1970 .75 inch, high-pressure steel services from 2019-2023. </w:t>
            </w:r>
            <w:r w:rsidR="00C077D4">
              <w:rPr>
                <w:rFonts w:ascii="Arial" w:hAnsi="Arial" w:cs="Arial"/>
              </w:rPr>
              <w:t xml:space="preserve">  Recovering the costs of major investments in infrastructure improvements</w:t>
            </w:r>
            <w:r w:rsidR="00C14104">
              <w:rPr>
                <w:rFonts w:ascii="Arial" w:hAnsi="Arial" w:cs="Arial"/>
              </w:rPr>
              <w:t xml:space="preserve"> under the STRIDE program coupled with a low growth of customers and rising costs were BGE’s major drivers in filing </w:t>
            </w:r>
            <w:r w:rsidR="00C14104">
              <w:rPr>
                <w:rFonts w:ascii="Arial" w:hAnsi="Arial" w:cs="Arial"/>
              </w:rPr>
              <w:lastRenderedPageBreak/>
              <w:t>for the rate base increase.</w:t>
            </w:r>
            <w:r w:rsidR="00A030C2">
              <w:rPr>
                <w:rFonts w:ascii="Arial" w:hAnsi="Arial" w:cs="Arial"/>
              </w:rPr>
              <w:t xml:space="preserve">  BG&amp;E also proposed an increase to residential customers’ fixed charges by over 15%, from $13 to $15 per month, resulting in an overall bill increase of 8%.</w:t>
            </w:r>
          </w:p>
          <w:p w:rsidR="00A030C2" w:rsidRDefault="00A030C2" w:rsidP="000C04F6">
            <w:pPr>
              <w:rPr>
                <w:rFonts w:ascii="Arial" w:hAnsi="Arial" w:cs="Arial"/>
              </w:rPr>
            </w:pPr>
          </w:p>
          <w:p w:rsidR="00A030C2" w:rsidRDefault="00A030C2" w:rsidP="000C04F6">
            <w:pPr>
              <w:rPr>
                <w:rFonts w:ascii="Arial" w:hAnsi="Arial" w:cs="Arial"/>
              </w:rPr>
            </w:pPr>
            <w:r>
              <w:rPr>
                <w:rFonts w:ascii="Arial" w:hAnsi="Arial" w:cs="Arial"/>
              </w:rPr>
              <w:t>On August 24, 2018, BG&amp;E filed an update supporting an $83.3 million rate increase premised on a 10.5% ROE.</w:t>
            </w:r>
          </w:p>
          <w:p w:rsidR="00A030C2" w:rsidRDefault="00A030C2" w:rsidP="000C04F6">
            <w:pPr>
              <w:rPr>
                <w:rFonts w:ascii="Arial" w:hAnsi="Arial" w:cs="Arial"/>
                <w:b/>
              </w:rPr>
            </w:pPr>
          </w:p>
          <w:p w:rsidR="00A030C2" w:rsidRDefault="00A030C2" w:rsidP="000C04F6">
            <w:pPr>
              <w:rPr>
                <w:rFonts w:ascii="Arial" w:hAnsi="Arial" w:cs="Arial"/>
              </w:rPr>
            </w:pPr>
            <w:r>
              <w:rPr>
                <w:rFonts w:ascii="Arial" w:hAnsi="Arial" w:cs="Arial"/>
              </w:rPr>
              <w:t>Testimony was filed by intervening parties, the Office of People’s Council (OPC), on September 14, 2018 which recommended the PSC deny BG&amp;E’s request due to BG&amp;E’s inclusion of costs related to non-STRIDE eligible safety and reliability measures in the rate base increase</w:t>
            </w:r>
            <w:r w:rsidR="00943957">
              <w:rPr>
                <w:rFonts w:ascii="Arial" w:hAnsi="Arial" w:cs="Arial"/>
              </w:rPr>
              <w:t>; PSC staff did not oppose BG&amp;E’s proposals to include these measures.</w:t>
            </w:r>
            <w:r>
              <w:rPr>
                <w:rFonts w:ascii="Arial" w:hAnsi="Arial" w:cs="Arial"/>
              </w:rPr>
              <w:t xml:space="preserve">  </w:t>
            </w:r>
            <w:r w:rsidR="00943957">
              <w:rPr>
                <w:rFonts w:ascii="Arial" w:hAnsi="Arial" w:cs="Arial"/>
              </w:rPr>
              <w:t xml:space="preserve">OPC recommended a $53.6 million rate increase premised on a 9% RPE while </w:t>
            </w:r>
            <w:r>
              <w:rPr>
                <w:rFonts w:ascii="Arial" w:hAnsi="Arial" w:cs="Arial"/>
              </w:rPr>
              <w:t>PSC staff recommended a $41.7 million rate increase</w:t>
            </w:r>
            <w:r w:rsidR="00943957">
              <w:rPr>
                <w:rFonts w:ascii="Arial" w:hAnsi="Arial" w:cs="Arial"/>
              </w:rPr>
              <w:t xml:space="preserve"> premised upon a 9.65% ROE.</w:t>
            </w:r>
          </w:p>
          <w:p w:rsidR="00943957" w:rsidRDefault="00943957" w:rsidP="000C04F6">
            <w:pPr>
              <w:rPr>
                <w:rFonts w:ascii="Arial" w:hAnsi="Arial" w:cs="Arial"/>
              </w:rPr>
            </w:pPr>
          </w:p>
          <w:p w:rsidR="00943957" w:rsidRPr="00A030C2" w:rsidRDefault="00943957" w:rsidP="000C04F6">
            <w:pPr>
              <w:rPr>
                <w:rFonts w:ascii="Arial" w:hAnsi="Arial" w:cs="Arial"/>
              </w:rPr>
            </w:pPr>
            <w:r>
              <w:rPr>
                <w:rFonts w:ascii="Arial" w:hAnsi="Arial" w:cs="Arial"/>
              </w:rPr>
              <w:t>Ultimately, in its decision, the PSC increased BG&amp;E’s ROE while approving a smaller rate increase than requested.</w:t>
            </w:r>
          </w:p>
          <w:p w:rsidR="000C04F6" w:rsidRPr="00C01EA6" w:rsidRDefault="000C04F6" w:rsidP="000C04F6">
            <w:pPr>
              <w:rPr>
                <w:rFonts w:ascii="Arial" w:hAnsi="Arial" w:cs="Arial"/>
              </w:rPr>
            </w:pPr>
          </w:p>
        </w:tc>
      </w:tr>
      <w:tr w:rsidR="008209DD" w:rsidRPr="00B51D1F" w:rsidTr="004E793E">
        <w:trPr>
          <w:trHeight w:val="279"/>
        </w:trPr>
        <w:tc>
          <w:tcPr>
            <w:tcW w:w="9895" w:type="dxa"/>
            <w:gridSpan w:val="2"/>
            <w:shd w:val="clear" w:color="auto" w:fill="1F4E79" w:themeFill="accent1" w:themeFillShade="80"/>
          </w:tcPr>
          <w:p w:rsidR="008209DD" w:rsidRPr="00B51D1F" w:rsidRDefault="000C04F6" w:rsidP="005F3DEB">
            <w:pPr>
              <w:jc w:val="center"/>
              <w:rPr>
                <w:rFonts w:ascii="Arial" w:hAnsi="Arial" w:cs="Arial"/>
                <w:b/>
                <w:color w:val="FFFFFF" w:themeColor="background1"/>
              </w:rPr>
            </w:pPr>
            <w:r>
              <w:rPr>
                <w:rFonts w:ascii="Arial" w:hAnsi="Arial" w:cs="Arial"/>
                <w:b/>
                <w:color w:val="FFFFFF" w:themeColor="background1"/>
              </w:rPr>
              <w:lastRenderedPageBreak/>
              <w:t>January 8, 2019</w:t>
            </w:r>
          </w:p>
        </w:tc>
      </w:tr>
      <w:tr w:rsidR="008209DD" w:rsidRPr="00B51D1F" w:rsidTr="002E5982">
        <w:trPr>
          <w:trHeight w:val="279"/>
        </w:trPr>
        <w:tc>
          <w:tcPr>
            <w:tcW w:w="2245" w:type="dxa"/>
            <w:shd w:val="clear" w:color="auto" w:fill="1F4E79" w:themeFill="accent1" w:themeFillShade="80"/>
          </w:tcPr>
          <w:p w:rsidR="008209DD" w:rsidRPr="00B51D1F" w:rsidRDefault="008209DD" w:rsidP="00AD3B4B">
            <w:pPr>
              <w:rPr>
                <w:rFonts w:ascii="Arial" w:hAnsi="Arial" w:cs="Arial"/>
                <w:b/>
                <w:color w:val="FFFFFF" w:themeColor="background1"/>
              </w:rPr>
            </w:pPr>
            <w:r w:rsidRPr="00B51D1F">
              <w:rPr>
                <w:rFonts w:ascii="Arial" w:hAnsi="Arial" w:cs="Arial"/>
                <w:b/>
                <w:color w:val="FFFFFF" w:themeColor="background1"/>
              </w:rPr>
              <w:t>Company</w:t>
            </w:r>
          </w:p>
        </w:tc>
        <w:tc>
          <w:tcPr>
            <w:tcW w:w="7650" w:type="dxa"/>
            <w:shd w:val="clear" w:color="auto" w:fill="FFFFFF" w:themeFill="background1"/>
          </w:tcPr>
          <w:p w:rsidR="008209DD" w:rsidRPr="00B51D1F" w:rsidRDefault="000C04F6" w:rsidP="00C34414">
            <w:pPr>
              <w:rPr>
                <w:rFonts w:ascii="Arial" w:hAnsi="Arial" w:cs="Arial"/>
              </w:rPr>
            </w:pPr>
            <w:r>
              <w:rPr>
                <w:rFonts w:ascii="Arial" w:hAnsi="Arial" w:cs="Arial"/>
              </w:rPr>
              <w:t xml:space="preserve">Oklahoma Natural Gas Company </w:t>
            </w:r>
          </w:p>
        </w:tc>
      </w:tr>
      <w:tr w:rsidR="008209DD" w:rsidRPr="00B51D1F" w:rsidTr="002E5982">
        <w:trPr>
          <w:trHeight w:val="279"/>
        </w:trPr>
        <w:tc>
          <w:tcPr>
            <w:tcW w:w="2245" w:type="dxa"/>
            <w:shd w:val="clear" w:color="auto" w:fill="1F4E79" w:themeFill="accent1" w:themeFillShade="80"/>
          </w:tcPr>
          <w:p w:rsidR="008209DD" w:rsidRPr="00B51D1F" w:rsidRDefault="003A0B49" w:rsidP="00AD3B4B">
            <w:pPr>
              <w:rPr>
                <w:rFonts w:ascii="Arial" w:hAnsi="Arial" w:cs="Arial"/>
                <w:b/>
                <w:color w:val="FFFFFF" w:themeColor="background1"/>
              </w:rPr>
            </w:pPr>
            <w:r>
              <w:rPr>
                <w:rFonts w:ascii="Arial" w:hAnsi="Arial" w:cs="Arial"/>
                <w:b/>
                <w:color w:val="FFFFFF" w:themeColor="background1"/>
              </w:rPr>
              <w:t>State</w:t>
            </w:r>
          </w:p>
        </w:tc>
        <w:tc>
          <w:tcPr>
            <w:tcW w:w="7650" w:type="dxa"/>
            <w:shd w:val="clear" w:color="auto" w:fill="FFFFFF" w:themeFill="background1"/>
          </w:tcPr>
          <w:p w:rsidR="008209DD" w:rsidRPr="00B51D1F" w:rsidRDefault="000C04F6" w:rsidP="00CD3DC9">
            <w:pPr>
              <w:rPr>
                <w:rFonts w:ascii="Arial" w:hAnsi="Arial" w:cs="Arial"/>
              </w:rPr>
            </w:pPr>
            <w:r>
              <w:rPr>
                <w:rFonts w:ascii="Arial" w:hAnsi="Arial" w:cs="Arial"/>
              </w:rPr>
              <w:t>Oklahoma</w:t>
            </w:r>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shd w:val="clear" w:color="auto" w:fill="FFFFFF" w:themeFill="background1"/>
          </w:tcPr>
          <w:p w:rsidR="00644EA0" w:rsidRPr="00683905" w:rsidRDefault="00513417" w:rsidP="00644EA0">
            <w:pPr>
              <w:rPr>
                <w:rFonts w:ascii="Arial" w:hAnsi="Arial" w:cs="Arial"/>
                <w:color w:val="0000FF"/>
                <w:u w:val="single"/>
              </w:rPr>
            </w:pPr>
            <w:hyperlink r:id="rId10" w:history="1">
              <w:r w:rsidR="00644EA0" w:rsidRPr="00683905">
                <w:rPr>
                  <w:rStyle w:val="Hyperlink"/>
                  <w:rFonts w:ascii="Helvetica" w:hAnsi="Helvetica" w:cs="Helvetica"/>
                  <w:shd w:val="clear" w:color="auto" w:fill="FFFFFF"/>
                </w:rPr>
                <w:t>PUD201800028</w:t>
              </w:r>
            </w:hyperlink>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shd w:val="clear" w:color="auto" w:fill="FFFFFF" w:themeFill="background1"/>
          </w:tcPr>
          <w:p w:rsidR="00644EA0" w:rsidRPr="00B51D1F" w:rsidRDefault="00644EA0" w:rsidP="00644EA0">
            <w:pPr>
              <w:rPr>
                <w:rFonts w:ascii="Arial" w:hAnsi="Arial" w:cs="Arial"/>
              </w:rPr>
            </w:pPr>
            <w:r>
              <w:rPr>
                <w:rFonts w:ascii="Arial" w:hAnsi="Arial" w:cs="Arial"/>
              </w:rPr>
              <w:t>-$5.9 million (-$5.6 million requested)</w:t>
            </w:r>
          </w:p>
        </w:tc>
      </w:tr>
      <w:tr w:rsidR="00644EA0" w:rsidRPr="00B51D1F" w:rsidTr="002E5982">
        <w:trPr>
          <w:trHeight w:val="279"/>
        </w:trPr>
        <w:tc>
          <w:tcPr>
            <w:tcW w:w="2245" w:type="dxa"/>
            <w:shd w:val="clear" w:color="auto" w:fill="1F4E79" w:themeFill="accent1" w:themeFillShade="80"/>
          </w:tcPr>
          <w:p w:rsidR="00644EA0" w:rsidRPr="00B51D1F" w:rsidRDefault="00644EA0" w:rsidP="00644EA0">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shd w:val="clear" w:color="auto" w:fill="FFFFFF" w:themeFill="background1"/>
          </w:tcPr>
          <w:p w:rsidR="00644EA0" w:rsidRPr="00B51D1F" w:rsidRDefault="00644EA0" w:rsidP="00644EA0">
            <w:pPr>
              <w:rPr>
                <w:rFonts w:ascii="Arial" w:hAnsi="Arial" w:cs="Arial"/>
              </w:rPr>
            </w:pP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shd w:val="clear" w:color="auto" w:fill="FFFFFF" w:themeFill="background1"/>
          </w:tcPr>
          <w:p w:rsidR="006531A4" w:rsidRPr="00B51D1F" w:rsidRDefault="006531A4" w:rsidP="006531A4">
            <w:pPr>
              <w:rPr>
                <w:rFonts w:ascii="Arial" w:hAnsi="Arial" w:cs="Arial"/>
              </w:rPr>
            </w:pPr>
            <w:r>
              <w:rPr>
                <w:rFonts w:ascii="Arial" w:hAnsi="Arial" w:cs="Arial"/>
              </w:rPr>
              <w:t>Oklahoma Industrial Energy Consumers</w:t>
            </w:r>
            <w:r w:rsidR="00426DBE">
              <w:rPr>
                <w:rFonts w:ascii="Arial" w:hAnsi="Arial" w:cs="Arial"/>
              </w:rPr>
              <w:t xml:space="preserve"> (OIEC)</w:t>
            </w:r>
          </w:p>
        </w:tc>
      </w:tr>
      <w:tr w:rsidR="006531A4" w:rsidRPr="00B51D1F" w:rsidTr="004E793E">
        <w:trPr>
          <w:trHeight w:val="279"/>
        </w:trPr>
        <w:tc>
          <w:tcPr>
            <w:tcW w:w="9895" w:type="dxa"/>
            <w:gridSpan w:val="2"/>
            <w:shd w:val="clear" w:color="auto" w:fill="1F4E79" w:themeFill="accent1" w:themeFillShade="80"/>
          </w:tcPr>
          <w:p w:rsidR="006531A4" w:rsidRPr="00B51D1F" w:rsidRDefault="006531A4" w:rsidP="006531A4">
            <w:pPr>
              <w:jc w:val="center"/>
              <w:rPr>
                <w:rFonts w:ascii="Arial" w:hAnsi="Arial" w:cs="Arial"/>
                <w:b/>
                <w:color w:val="FFFFFF" w:themeColor="background1"/>
              </w:rPr>
            </w:pPr>
            <w:r w:rsidRPr="00B51D1F">
              <w:rPr>
                <w:rFonts w:ascii="Arial" w:hAnsi="Arial" w:cs="Arial"/>
                <w:b/>
                <w:color w:val="FFFFFF" w:themeColor="background1"/>
              </w:rPr>
              <w:t xml:space="preserve">Case Summary </w:t>
            </w:r>
          </w:p>
        </w:tc>
      </w:tr>
      <w:tr w:rsidR="006531A4" w:rsidRPr="00B51D1F" w:rsidTr="004E793E">
        <w:trPr>
          <w:trHeight w:val="279"/>
        </w:trPr>
        <w:tc>
          <w:tcPr>
            <w:tcW w:w="9895" w:type="dxa"/>
            <w:gridSpan w:val="2"/>
            <w:shd w:val="clear" w:color="auto" w:fill="FFFFFF" w:themeFill="background1"/>
          </w:tcPr>
          <w:p w:rsidR="006531A4" w:rsidRDefault="006531A4" w:rsidP="006531A4">
            <w:pPr>
              <w:tabs>
                <w:tab w:val="left" w:pos="390"/>
                <w:tab w:val="left" w:pos="2280"/>
              </w:tabs>
              <w:rPr>
                <w:rFonts w:ascii="Arial" w:hAnsi="Arial" w:cs="Arial"/>
              </w:rPr>
            </w:pPr>
            <w:r>
              <w:rPr>
                <w:rFonts w:ascii="Arial" w:hAnsi="Arial" w:cs="Arial"/>
              </w:rPr>
              <w:t>On March 15 ,2018, the Oklahoma Natural Gas Company</w:t>
            </w:r>
            <w:r w:rsidR="00426DBE">
              <w:rPr>
                <w:rFonts w:ascii="Arial" w:hAnsi="Arial" w:cs="Arial"/>
              </w:rPr>
              <w:t xml:space="preserve"> filed an application with the Oklahoma Corporation Commission (OCC), and requested approval of its PBRC Plan calculations for the year 2017, energy efficiency true-up, and </w:t>
            </w:r>
            <w:r w:rsidR="00683905">
              <w:rPr>
                <w:rFonts w:ascii="Arial" w:hAnsi="Arial" w:cs="Arial"/>
              </w:rPr>
              <w:t>utility</w:t>
            </w:r>
            <w:r w:rsidR="00426DBE">
              <w:rPr>
                <w:rFonts w:ascii="Arial" w:hAnsi="Arial" w:cs="Arial"/>
              </w:rPr>
              <w:t xml:space="preserve"> incentive</w:t>
            </w:r>
            <w:r w:rsidR="00683905">
              <w:rPr>
                <w:rFonts w:ascii="Arial" w:hAnsi="Arial" w:cs="Arial"/>
              </w:rPr>
              <w:t xml:space="preserve"> adjustments programs, and changes to its tariffs.</w:t>
            </w:r>
            <w:r w:rsidR="00426DBE">
              <w:rPr>
                <w:rFonts w:ascii="Arial" w:hAnsi="Arial" w:cs="Arial"/>
              </w:rPr>
              <w:t xml:space="preserve"> </w:t>
            </w:r>
            <w:r>
              <w:rPr>
                <w:rFonts w:ascii="Arial" w:hAnsi="Arial" w:cs="Arial"/>
              </w:rPr>
              <w:t xml:space="preserve"> </w:t>
            </w:r>
          </w:p>
          <w:p w:rsidR="006531A4" w:rsidRDefault="006531A4" w:rsidP="006531A4">
            <w:pPr>
              <w:tabs>
                <w:tab w:val="left" w:pos="390"/>
                <w:tab w:val="left" w:pos="2280"/>
              </w:tabs>
              <w:rPr>
                <w:rFonts w:ascii="Arial" w:hAnsi="Arial" w:cs="Arial"/>
              </w:rPr>
            </w:pPr>
          </w:p>
          <w:p w:rsidR="00683905" w:rsidRDefault="00683905" w:rsidP="006531A4">
            <w:pPr>
              <w:tabs>
                <w:tab w:val="left" w:pos="390"/>
                <w:tab w:val="left" w:pos="2280"/>
              </w:tabs>
              <w:rPr>
                <w:rFonts w:ascii="Arial" w:hAnsi="Arial" w:cs="Arial"/>
              </w:rPr>
            </w:pPr>
            <w:r>
              <w:rPr>
                <w:rFonts w:ascii="Arial" w:hAnsi="Arial" w:cs="Arial"/>
              </w:rPr>
              <w:t xml:space="preserve">On September 20, 2018, the Report and Recommendations of the Administrative Law Judge (ALJ Report) filed a </w:t>
            </w:r>
            <w:proofErr w:type="gramStart"/>
            <w:r>
              <w:rPr>
                <w:rFonts w:ascii="Arial" w:hAnsi="Arial" w:cs="Arial"/>
              </w:rPr>
              <w:t>reports</w:t>
            </w:r>
            <w:proofErr w:type="gramEnd"/>
            <w:r>
              <w:rPr>
                <w:rFonts w:ascii="Arial" w:hAnsi="Arial" w:cs="Arial"/>
              </w:rPr>
              <w:t xml:space="preserve"> with its findings which set forth recommendations for rate adjustments and refunds.  </w:t>
            </w:r>
          </w:p>
          <w:p w:rsidR="00683905" w:rsidRDefault="00683905" w:rsidP="006531A4">
            <w:pPr>
              <w:tabs>
                <w:tab w:val="left" w:pos="390"/>
                <w:tab w:val="left" w:pos="2280"/>
              </w:tabs>
              <w:rPr>
                <w:rFonts w:ascii="Arial" w:hAnsi="Arial" w:cs="Arial"/>
              </w:rPr>
            </w:pPr>
          </w:p>
          <w:p w:rsidR="006531A4" w:rsidRDefault="00683905" w:rsidP="006531A4">
            <w:pPr>
              <w:tabs>
                <w:tab w:val="left" w:pos="390"/>
                <w:tab w:val="left" w:pos="2280"/>
              </w:tabs>
              <w:rPr>
                <w:rFonts w:ascii="Arial" w:hAnsi="Arial" w:cs="Arial"/>
              </w:rPr>
            </w:pPr>
            <w:r>
              <w:rPr>
                <w:rFonts w:ascii="Arial" w:hAnsi="Arial" w:cs="Arial"/>
              </w:rPr>
              <w:t>OCC found that d</w:t>
            </w:r>
            <w:r w:rsidR="006531A4">
              <w:rPr>
                <w:rFonts w:ascii="Arial" w:hAnsi="Arial" w:cs="Arial"/>
              </w:rPr>
              <w:t xml:space="preserve">ue to the 2017 Tax Cuts and Jobs Act (2017 TCJA), which reformed the federal income corporate tax, Oklahoma Natural Gas performance resulted in </w:t>
            </w:r>
            <w:proofErr w:type="gramStart"/>
            <w:r w:rsidR="006531A4">
              <w:rPr>
                <w:rFonts w:ascii="Arial" w:hAnsi="Arial" w:cs="Arial"/>
              </w:rPr>
              <w:t>an</w:t>
            </w:r>
            <w:proofErr w:type="gramEnd"/>
            <w:r w:rsidR="006531A4">
              <w:rPr>
                <w:rFonts w:ascii="Arial" w:hAnsi="Arial" w:cs="Arial"/>
              </w:rPr>
              <w:t xml:space="preserve"> ROE of less than 9% -</w:t>
            </w:r>
            <w:r w:rsidR="00740B3E">
              <w:rPr>
                <w:rFonts w:ascii="Arial" w:hAnsi="Arial" w:cs="Arial"/>
              </w:rPr>
              <w:t xml:space="preserve"> due to these significant income tax savings over its authorized return (9.5%), Oklahoma Natural was directed to refund </w:t>
            </w:r>
            <w:r w:rsidR="00562CB2">
              <w:rPr>
                <w:rFonts w:ascii="Arial" w:hAnsi="Arial" w:cs="Arial"/>
              </w:rPr>
              <w:t xml:space="preserve">100% of savings.  The refund of the </w:t>
            </w:r>
            <w:r w:rsidR="004005F1">
              <w:rPr>
                <w:rFonts w:ascii="Arial" w:hAnsi="Arial" w:cs="Arial"/>
              </w:rPr>
              <w:t>excess accumulated deferred income tax will be reflected on the</w:t>
            </w:r>
            <w:r w:rsidR="00426DBE">
              <w:rPr>
                <w:rFonts w:ascii="Arial" w:hAnsi="Arial" w:cs="Arial"/>
              </w:rPr>
              <w:t xml:space="preserve"> bills of</w:t>
            </w:r>
            <w:r w:rsidR="004005F1">
              <w:rPr>
                <w:rFonts w:ascii="Arial" w:hAnsi="Arial" w:cs="Arial"/>
              </w:rPr>
              <w:t xml:space="preserve"> Oklahoma Gas</w:t>
            </w:r>
            <w:r w:rsidR="00426DBE">
              <w:rPr>
                <w:rFonts w:ascii="Arial" w:hAnsi="Arial" w:cs="Arial"/>
              </w:rPr>
              <w:t xml:space="preserve"> customer</w:t>
            </w:r>
            <w:r>
              <w:rPr>
                <w:rFonts w:ascii="Arial" w:hAnsi="Arial" w:cs="Arial"/>
              </w:rPr>
              <w:t xml:space="preserve">s.  </w:t>
            </w:r>
          </w:p>
          <w:p w:rsidR="00683905" w:rsidRDefault="00683905" w:rsidP="006531A4">
            <w:pPr>
              <w:tabs>
                <w:tab w:val="left" w:pos="390"/>
                <w:tab w:val="left" w:pos="2280"/>
              </w:tabs>
              <w:rPr>
                <w:rFonts w:ascii="Arial" w:hAnsi="Arial" w:cs="Arial"/>
              </w:rPr>
            </w:pPr>
          </w:p>
          <w:p w:rsidR="00683905" w:rsidRDefault="00683905" w:rsidP="006531A4">
            <w:pPr>
              <w:tabs>
                <w:tab w:val="left" w:pos="390"/>
                <w:tab w:val="left" w:pos="2280"/>
              </w:tabs>
              <w:rPr>
                <w:rFonts w:ascii="Arial" w:hAnsi="Arial" w:cs="Arial"/>
              </w:rPr>
            </w:pPr>
            <w:r>
              <w:rPr>
                <w:rFonts w:ascii="Arial" w:hAnsi="Arial" w:cs="Arial"/>
              </w:rPr>
              <w:t>Upon review of the ALJ Report submitted by Oklahoma Natural and exceptions On January 8, 2019, the utility division of the OCC ordered a rate reduction of $5.9 million</w:t>
            </w:r>
            <w:r w:rsidR="002F74D0">
              <w:rPr>
                <w:rFonts w:ascii="Arial" w:hAnsi="Arial" w:cs="Arial"/>
              </w:rPr>
              <w:t>.</w:t>
            </w:r>
          </w:p>
          <w:p w:rsidR="006531A4" w:rsidRPr="00B51D1F" w:rsidRDefault="006531A4" w:rsidP="006531A4">
            <w:pPr>
              <w:tabs>
                <w:tab w:val="left" w:pos="390"/>
                <w:tab w:val="left" w:pos="2280"/>
              </w:tabs>
              <w:rPr>
                <w:rFonts w:ascii="Arial" w:hAnsi="Arial" w:cs="Arial"/>
              </w:rPr>
            </w:pPr>
          </w:p>
        </w:tc>
      </w:tr>
      <w:tr w:rsidR="006531A4" w:rsidRPr="00B51D1F" w:rsidTr="004E793E">
        <w:trPr>
          <w:trHeight w:val="263"/>
        </w:trPr>
        <w:tc>
          <w:tcPr>
            <w:tcW w:w="9895" w:type="dxa"/>
            <w:gridSpan w:val="2"/>
            <w:shd w:val="clear" w:color="auto" w:fill="1F4E79" w:themeFill="accent1" w:themeFillShade="80"/>
          </w:tcPr>
          <w:p w:rsidR="006531A4" w:rsidRPr="00B51D1F" w:rsidRDefault="006531A4" w:rsidP="006531A4">
            <w:pPr>
              <w:jc w:val="center"/>
              <w:rPr>
                <w:rFonts w:ascii="Arial" w:hAnsi="Arial" w:cs="Arial"/>
                <w:b/>
                <w:color w:val="FFFFFF" w:themeColor="background1"/>
              </w:rPr>
            </w:pPr>
            <w:r>
              <w:rPr>
                <w:rFonts w:ascii="Arial" w:hAnsi="Arial" w:cs="Arial"/>
                <w:b/>
                <w:color w:val="FFFFFF" w:themeColor="background1"/>
              </w:rPr>
              <w:t>January 18, 2019</w:t>
            </w:r>
          </w:p>
        </w:tc>
      </w:tr>
      <w:tr w:rsidR="006531A4" w:rsidRPr="00B51D1F" w:rsidTr="002E5982">
        <w:trPr>
          <w:trHeight w:val="161"/>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6531A4" w:rsidRPr="00B51D1F" w:rsidRDefault="006531A4" w:rsidP="006531A4">
            <w:pPr>
              <w:rPr>
                <w:rFonts w:ascii="Arial" w:hAnsi="Arial" w:cs="Arial"/>
              </w:rPr>
            </w:pPr>
            <w:r>
              <w:rPr>
                <w:rFonts w:ascii="Arial" w:hAnsi="Arial" w:cs="Arial"/>
              </w:rPr>
              <w:t>Berkshire Gas Company</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Pr>
                <w:rFonts w:ascii="Arial" w:hAnsi="Arial" w:cs="Arial"/>
                <w:b/>
                <w:color w:val="FFFFFF" w:themeColor="background1"/>
              </w:rPr>
              <w:lastRenderedPageBreak/>
              <w:t>State</w:t>
            </w:r>
          </w:p>
        </w:tc>
        <w:tc>
          <w:tcPr>
            <w:tcW w:w="7650" w:type="dxa"/>
          </w:tcPr>
          <w:p w:rsidR="006531A4" w:rsidRPr="00B51D1F" w:rsidRDefault="006531A4" w:rsidP="006531A4">
            <w:pPr>
              <w:rPr>
                <w:rFonts w:ascii="Arial" w:hAnsi="Arial" w:cs="Arial"/>
              </w:rPr>
            </w:pPr>
            <w:r>
              <w:rPr>
                <w:rFonts w:ascii="Arial" w:hAnsi="Arial" w:cs="Arial"/>
              </w:rPr>
              <w:t>Massachusetts</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6531A4" w:rsidRPr="00B32D3D" w:rsidRDefault="00513417" w:rsidP="006531A4">
            <w:pPr>
              <w:rPr>
                <w:rFonts w:ascii="Arial" w:hAnsi="Arial" w:cs="Arial"/>
                <w:color w:val="0000FF"/>
              </w:rPr>
            </w:pPr>
            <w:hyperlink r:id="rId11" w:history="1">
              <w:r w:rsidR="006531A4" w:rsidRPr="00FD64D2">
                <w:rPr>
                  <w:rStyle w:val="Hyperlink"/>
                  <w:rFonts w:ascii="Arial" w:hAnsi="Arial" w:cs="Arial"/>
                </w:rPr>
                <w:t>DPU 18-40</w:t>
              </w:r>
            </w:hyperlink>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6531A4" w:rsidRPr="00B51D1F" w:rsidRDefault="006531A4" w:rsidP="006531A4">
            <w:pPr>
              <w:rPr>
                <w:rFonts w:ascii="Arial" w:hAnsi="Arial" w:cs="Arial"/>
              </w:rPr>
            </w:pPr>
            <w:r>
              <w:rPr>
                <w:rFonts w:ascii="Arial" w:hAnsi="Arial" w:cs="Arial"/>
              </w:rPr>
              <w:t>$2.39 Million ($4.5 million requested)</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6531A4" w:rsidRPr="00B51D1F" w:rsidRDefault="006531A4" w:rsidP="006531A4">
            <w:pPr>
              <w:rPr>
                <w:rFonts w:ascii="Arial" w:hAnsi="Arial" w:cs="Arial"/>
              </w:rPr>
            </w:pPr>
            <w:r>
              <w:rPr>
                <w:rFonts w:ascii="Arial" w:hAnsi="Arial" w:cs="Arial"/>
              </w:rPr>
              <w:t>9.7%</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6531A4" w:rsidRPr="00B51D1F" w:rsidRDefault="006531A4" w:rsidP="006531A4">
            <w:pPr>
              <w:rPr>
                <w:rFonts w:ascii="Arial" w:hAnsi="Arial" w:cs="Arial"/>
                <w:szCs w:val="18"/>
                <w:shd w:val="clear" w:color="auto" w:fill="FFFFFF"/>
              </w:rPr>
            </w:pPr>
            <w:r>
              <w:rPr>
                <w:rFonts w:ascii="Arial" w:hAnsi="Arial" w:cs="Arial"/>
                <w:szCs w:val="18"/>
                <w:shd w:val="clear" w:color="auto" w:fill="FFFFFF"/>
              </w:rPr>
              <w:t>Low-income Weatherization and Fuel Assistance Program Network (Low Income Network), Massachusetts Department of Energy Resources (DOER)</w:t>
            </w:r>
          </w:p>
        </w:tc>
      </w:tr>
      <w:tr w:rsidR="006531A4" w:rsidRPr="00B51D1F" w:rsidTr="004E793E">
        <w:trPr>
          <w:trHeight w:val="263"/>
        </w:trPr>
        <w:tc>
          <w:tcPr>
            <w:tcW w:w="9895" w:type="dxa"/>
            <w:gridSpan w:val="2"/>
            <w:shd w:val="clear" w:color="auto" w:fill="1F4E79" w:themeFill="accent1" w:themeFillShade="80"/>
          </w:tcPr>
          <w:p w:rsidR="006531A4" w:rsidRPr="00B51D1F" w:rsidRDefault="006531A4" w:rsidP="006531A4">
            <w:pPr>
              <w:tabs>
                <w:tab w:val="left" w:pos="240"/>
                <w:tab w:val="center" w:pos="4839"/>
              </w:tabs>
              <w:rPr>
                <w:rFonts w:ascii="Arial" w:hAnsi="Arial" w:cs="Arial"/>
                <w:b/>
                <w:color w:val="FFFFFF" w:themeColor="background1"/>
              </w:rPr>
            </w:pPr>
            <w:r w:rsidRPr="00B51D1F">
              <w:rPr>
                <w:rFonts w:ascii="Arial" w:hAnsi="Arial" w:cs="Arial"/>
                <w:b/>
                <w:color w:val="FFFFFF" w:themeColor="background1"/>
              </w:rPr>
              <w:tab/>
            </w:r>
            <w:r w:rsidRPr="00B51D1F">
              <w:rPr>
                <w:rFonts w:ascii="Arial" w:hAnsi="Arial" w:cs="Arial"/>
                <w:b/>
                <w:color w:val="FFFFFF" w:themeColor="background1"/>
              </w:rPr>
              <w:tab/>
              <w:t>Case Summary</w:t>
            </w:r>
          </w:p>
        </w:tc>
      </w:tr>
      <w:tr w:rsidR="006531A4" w:rsidRPr="00B51D1F" w:rsidTr="004E793E">
        <w:trPr>
          <w:trHeight w:val="263"/>
        </w:trPr>
        <w:tc>
          <w:tcPr>
            <w:tcW w:w="9895" w:type="dxa"/>
            <w:gridSpan w:val="2"/>
            <w:shd w:val="clear" w:color="auto" w:fill="FFFFFF" w:themeFill="background1"/>
          </w:tcPr>
          <w:p w:rsidR="006531A4" w:rsidRDefault="006531A4" w:rsidP="006531A4">
            <w:pPr>
              <w:tabs>
                <w:tab w:val="left" w:pos="240"/>
                <w:tab w:val="center" w:pos="4839"/>
              </w:tabs>
              <w:rPr>
                <w:rFonts w:ascii="Arial" w:hAnsi="Arial" w:cs="Arial"/>
              </w:rPr>
            </w:pPr>
            <w:r>
              <w:rPr>
                <w:rFonts w:ascii="Arial" w:hAnsi="Arial" w:cs="Arial"/>
              </w:rPr>
              <w:t>On May 17, 2018, Berkshire Gas Company filed a petition with the Massachusetts Department of Public Utilities (DPU) for an increase of $4,065,485 and a 10.5% ROE.</w:t>
            </w:r>
          </w:p>
          <w:p w:rsidR="006531A4" w:rsidRDefault="006531A4" w:rsidP="006531A4">
            <w:pPr>
              <w:tabs>
                <w:tab w:val="left" w:pos="240"/>
                <w:tab w:val="center" w:pos="4839"/>
              </w:tabs>
              <w:rPr>
                <w:rFonts w:ascii="Arial" w:hAnsi="Arial" w:cs="Arial"/>
              </w:rPr>
            </w:pPr>
          </w:p>
          <w:p w:rsidR="006531A4" w:rsidRDefault="006531A4" w:rsidP="006531A4">
            <w:pPr>
              <w:tabs>
                <w:tab w:val="left" w:pos="240"/>
                <w:tab w:val="center" w:pos="4839"/>
              </w:tabs>
              <w:rPr>
                <w:rFonts w:cs="Arial"/>
              </w:rPr>
            </w:pPr>
            <w:r>
              <w:rPr>
                <w:rFonts w:ascii="Arial" w:hAnsi="Arial" w:cs="Arial"/>
              </w:rPr>
              <w:t xml:space="preserve">On December 4, 2018, Berkshire Gas and the Attorney General filed for an approval of a settlement agreement to address issues brought up during initial testimony. </w:t>
            </w:r>
            <w:r>
              <w:rPr>
                <w:rFonts w:cs="Arial"/>
              </w:rPr>
              <w:t>The settlement proposed the following;</w:t>
            </w:r>
          </w:p>
          <w:p w:rsidR="006531A4" w:rsidRDefault="006531A4" w:rsidP="006531A4">
            <w:pPr>
              <w:pStyle w:val="ListParagraph"/>
              <w:numPr>
                <w:ilvl w:val="0"/>
                <w:numId w:val="20"/>
              </w:numPr>
              <w:tabs>
                <w:tab w:val="left" w:pos="240"/>
                <w:tab w:val="center" w:pos="4839"/>
              </w:tabs>
              <w:rPr>
                <w:rFonts w:cs="Arial"/>
              </w:rPr>
            </w:pPr>
            <w:r>
              <w:rPr>
                <w:rFonts w:cs="Arial"/>
              </w:rPr>
              <w:t xml:space="preserve">A proposed distribution rate </w:t>
            </w:r>
            <w:proofErr w:type="gramStart"/>
            <w:r>
              <w:rPr>
                <w:rFonts w:cs="Arial"/>
              </w:rPr>
              <w:t>increase</w:t>
            </w:r>
            <w:proofErr w:type="gramEnd"/>
            <w:r>
              <w:rPr>
                <w:rFonts w:cs="Arial"/>
              </w:rPr>
              <w:t xml:space="preserve"> to be rolled out in two phases; a $1.69 million increase to go into effect on February 1, 2019 and a subsequent increase of up to $0.70 million effective on December 1, 2019. </w:t>
            </w:r>
          </w:p>
          <w:p w:rsidR="006531A4" w:rsidRDefault="006531A4" w:rsidP="006531A4">
            <w:pPr>
              <w:pStyle w:val="ListParagraph"/>
              <w:numPr>
                <w:ilvl w:val="0"/>
                <w:numId w:val="20"/>
              </w:numPr>
              <w:tabs>
                <w:tab w:val="left" w:pos="240"/>
                <w:tab w:val="center" w:pos="4839"/>
              </w:tabs>
              <w:rPr>
                <w:rFonts w:cs="Arial"/>
              </w:rPr>
            </w:pPr>
            <w:r>
              <w:rPr>
                <w:rFonts w:cs="Arial"/>
              </w:rPr>
              <w:t xml:space="preserve">A distribution rate </w:t>
            </w:r>
            <w:proofErr w:type="gramStart"/>
            <w:r>
              <w:rPr>
                <w:rFonts w:cs="Arial"/>
              </w:rPr>
              <w:t>increase</w:t>
            </w:r>
            <w:proofErr w:type="gramEnd"/>
            <w:r>
              <w:rPr>
                <w:rFonts w:cs="Arial"/>
              </w:rPr>
              <w:t xml:space="preserve"> to go into effect on February 1, 2019, which contained adjustments to Berkshire Gas Company’s initial filing.  These adjustments included a $0.8 million exclusion of any charges associated with BGC’s headcount, an exclusion of $0.02 million (medical insurance expenses), an exclusion of $0.04 million (rate case expense), an exclusion of $0.10 million (recalculation of the return portion of the shared services capital asset costs), and an exclusion of $0.05 million (BGC’s proposed changes in deprecation accrual rates to remove any deprecation expenses associated with land-related property accounts)</w:t>
            </w:r>
          </w:p>
          <w:p w:rsidR="006531A4" w:rsidRDefault="006531A4" w:rsidP="006531A4">
            <w:pPr>
              <w:pStyle w:val="ListParagraph"/>
              <w:numPr>
                <w:ilvl w:val="0"/>
                <w:numId w:val="20"/>
              </w:numPr>
              <w:tabs>
                <w:tab w:val="left" w:pos="240"/>
                <w:tab w:val="center" w:pos="4839"/>
              </w:tabs>
              <w:rPr>
                <w:rFonts w:cs="Arial"/>
              </w:rPr>
            </w:pPr>
            <w:r>
              <w:rPr>
                <w:rFonts w:cs="Arial"/>
              </w:rPr>
              <w:t xml:space="preserve">Tax-related adjustments to take effect on February 1, 2019 which are designed to return a regulatory liability of $1.47 million over 15 months (associated with savings resulting from the Tax Cuts and Jobs Act of 2017) to ratepayers.  </w:t>
            </w:r>
          </w:p>
          <w:p w:rsidR="006531A4" w:rsidRDefault="006531A4" w:rsidP="006531A4">
            <w:pPr>
              <w:pStyle w:val="ListParagraph"/>
              <w:numPr>
                <w:ilvl w:val="1"/>
                <w:numId w:val="20"/>
              </w:numPr>
              <w:tabs>
                <w:tab w:val="left" w:pos="240"/>
                <w:tab w:val="center" w:pos="4839"/>
              </w:tabs>
              <w:rPr>
                <w:rFonts w:cs="Arial"/>
              </w:rPr>
            </w:pPr>
            <w:r>
              <w:rPr>
                <w:rFonts w:cs="Arial"/>
              </w:rPr>
              <w:t>An amortization period of 19.9 years to return $11.37 million to ratepayers in excess accumulated deferred income taxes resulting from the Tax Cuts and Jobs Act.</w:t>
            </w:r>
          </w:p>
          <w:p w:rsidR="006531A4" w:rsidRDefault="006531A4" w:rsidP="006531A4">
            <w:pPr>
              <w:pStyle w:val="ListParagraph"/>
              <w:numPr>
                <w:ilvl w:val="1"/>
                <w:numId w:val="20"/>
              </w:numPr>
              <w:tabs>
                <w:tab w:val="left" w:pos="240"/>
                <w:tab w:val="center" w:pos="4839"/>
              </w:tabs>
              <w:rPr>
                <w:rFonts w:cs="Arial"/>
              </w:rPr>
            </w:pPr>
            <w:r>
              <w:rPr>
                <w:rFonts w:cs="Arial"/>
              </w:rPr>
              <w:t>An adjustment of base rates by May 1, 2020 as a reflection of the completion of tax savings</w:t>
            </w:r>
          </w:p>
          <w:p w:rsidR="006531A4" w:rsidRDefault="006531A4" w:rsidP="006531A4">
            <w:pPr>
              <w:pStyle w:val="ListParagraph"/>
              <w:numPr>
                <w:ilvl w:val="1"/>
                <w:numId w:val="20"/>
              </w:numPr>
              <w:tabs>
                <w:tab w:val="left" w:pos="240"/>
                <w:tab w:val="center" w:pos="4839"/>
              </w:tabs>
              <w:rPr>
                <w:rFonts w:cs="Arial"/>
              </w:rPr>
            </w:pPr>
            <w:r>
              <w:rPr>
                <w:rFonts w:cs="Arial"/>
              </w:rPr>
              <w:t>An inclusion of distribution rates designed to return $11.37 million over an amortization period of 19.9 years to ratepayers in excess accumulated deferred income taxes resulting from the Tax Cuts and Jobs Act.</w:t>
            </w:r>
          </w:p>
          <w:p w:rsidR="006531A4" w:rsidRDefault="006531A4" w:rsidP="006531A4">
            <w:pPr>
              <w:pStyle w:val="ListParagraph"/>
              <w:numPr>
                <w:ilvl w:val="0"/>
                <w:numId w:val="20"/>
              </w:numPr>
              <w:tabs>
                <w:tab w:val="left" w:pos="240"/>
                <w:tab w:val="center" w:pos="4839"/>
              </w:tabs>
              <w:rPr>
                <w:rFonts w:cs="Arial"/>
              </w:rPr>
            </w:pPr>
            <w:r>
              <w:rPr>
                <w:rFonts w:cs="Arial"/>
              </w:rPr>
              <w:t>An approved and agreed upon ROE of 9.7%</w:t>
            </w:r>
          </w:p>
          <w:p w:rsidR="006531A4" w:rsidRDefault="006531A4" w:rsidP="006531A4">
            <w:pPr>
              <w:tabs>
                <w:tab w:val="left" w:pos="240"/>
                <w:tab w:val="center" w:pos="4839"/>
              </w:tabs>
              <w:rPr>
                <w:rFonts w:cs="Arial"/>
              </w:rPr>
            </w:pPr>
          </w:p>
          <w:p w:rsidR="006531A4" w:rsidRDefault="006531A4" w:rsidP="006531A4">
            <w:pPr>
              <w:tabs>
                <w:tab w:val="left" w:pos="240"/>
                <w:tab w:val="center" w:pos="4839"/>
              </w:tabs>
              <w:rPr>
                <w:rFonts w:cs="Arial"/>
              </w:rPr>
            </w:pPr>
            <w:r>
              <w:rPr>
                <w:rFonts w:cs="Arial"/>
              </w:rPr>
              <w:t>Upon review, the staff recommended an approval of the settlement agreement, and the settlement terms were approved by the DPU on January 18, 2019.</w:t>
            </w:r>
          </w:p>
          <w:p w:rsidR="00513417" w:rsidRDefault="00513417" w:rsidP="006531A4">
            <w:pPr>
              <w:tabs>
                <w:tab w:val="left" w:pos="240"/>
                <w:tab w:val="center" w:pos="4839"/>
              </w:tabs>
              <w:rPr>
                <w:rFonts w:cs="Arial"/>
              </w:rPr>
            </w:pPr>
          </w:p>
          <w:p w:rsidR="00513417" w:rsidRPr="00644EA0" w:rsidRDefault="00513417" w:rsidP="006531A4">
            <w:pPr>
              <w:tabs>
                <w:tab w:val="left" w:pos="240"/>
                <w:tab w:val="center" w:pos="4839"/>
              </w:tabs>
              <w:rPr>
                <w:rFonts w:cs="Arial"/>
              </w:rPr>
            </w:pPr>
          </w:p>
          <w:p w:rsidR="006531A4" w:rsidRPr="00C34414" w:rsidRDefault="006531A4" w:rsidP="006531A4">
            <w:pPr>
              <w:tabs>
                <w:tab w:val="left" w:pos="240"/>
                <w:tab w:val="center" w:pos="4839"/>
              </w:tabs>
              <w:rPr>
                <w:rFonts w:ascii="Arial" w:hAnsi="Arial" w:cs="Arial"/>
              </w:rPr>
            </w:pPr>
          </w:p>
        </w:tc>
      </w:tr>
      <w:tr w:rsidR="006531A4" w:rsidRPr="00B51D1F" w:rsidTr="004E793E">
        <w:trPr>
          <w:trHeight w:val="279"/>
        </w:trPr>
        <w:tc>
          <w:tcPr>
            <w:tcW w:w="9895" w:type="dxa"/>
            <w:gridSpan w:val="2"/>
            <w:shd w:val="clear" w:color="auto" w:fill="1F4E79" w:themeFill="accent1" w:themeFillShade="80"/>
          </w:tcPr>
          <w:p w:rsidR="006531A4" w:rsidRPr="000602A6" w:rsidRDefault="006531A4" w:rsidP="006531A4">
            <w:pPr>
              <w:jc w:val="center"/>
              <w:rPr>
                <w:rFonts w:ascii="Arial" w:hAnsi="Arial" w:cs="Arial"/>
                <w:b/>
                <w:color w:val="FFFFFF" w:themeColor="background1"/>
              </w:rPr>
            </w:pPr>
            <w:r>
              <w:rPr>
                <w:rFonts w:ascii="Arial" w:hAnsi="Arial" w:cs="Arial"/>
                <w:b/>
                <w:color w:val="FFFFFF" w:themeColor="background1"/>
              </w:rPr>
              <w:lastRenderedPageBreak/>
              <w:t>January 29, 2019</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6531A4" w:rsidRPr="000602A6" w:rsidRDefault="006531A4" w:rsidP="006531A4">
            <w:pPr>
              <w:rPr>
                <w:rFonts w:ascii="Arial" w:hAnsi="Arial" w:cs="Arial"/>
              </w:rPr>
            </w:pPr>
            <w:r>
              <w:rPr>
                <w:rFonts w:ascii="Arial" w:hAnsi="Arial" w:cs="Arial"/>
              </w:rPr>
              <w:t>Indiana Gas Company, Inc.</w:t>
            </w:r>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6531A4" w:rsidRPr="00B51D1F" w:rsidRDefault="006531A4" w:rsidP="006531A4">
            <w:pPr>
              <w:rPr>
                <w:rFonts w:ascii="Arial" w:hAnsi="Arial" w:cs="Arial"/>
              </w:rPr>
            </w:pPr>
            <w:r>
              <w:rPr>
                <w:rFonts w:ascii="Arial" w:hAnsi="Arial" w:cs="Arial"/>
              </w:rPr>
              <w:t>Indiana</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6531A4" w:rsidRPr="00B51D1F" w:rsidRDefault="00513417" w:rsidP="006531A4">
            <w:pPr>
              <w:rPr>
                <w:rFonts w:ascii="Arial" w:hAnsi="Arial" w:cs="Arial"/>
                <w:color w:val="0000FF"/>
                <w:u w:val="single"/>
              </w:rPr>
            </w:pPr>
            <w:hyperlink r:id="rId12" w:history="1">
              <w:r w:rsidR="0008690E" w:rsidRPr="0008690E">
                <w:rPr>
                  <w:rStyle w:val="Hyperlink"/>
                  <w:rFonts w:ascii="Helvetica" w:hAnsi="Helvetica" w:cs="Helvetica"/>
                  <w:shd w:val="clear" w:color="auto" w:fill="FFFFFF"/>
                </w:rPr>
                <w:t>44430-TDSIC-9-S1</w:t>
              </w:r>
            </w:hyperlink>
          </w:p>
        </w:tc>
      </w:tr>
      <w:tr w:rsidR="006531A4" w:rsidRPr="00B51D1F" w:rsidTr="002E5982">
        <w:trPr>
          <w:trHeight w:val="279"/>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6531A4" w:rsidRPr="00416BC2" w:rsidRDefault="0008690E" w:rsidP="006531A4">
            <w:pPr>
              <w:rPr>
                <w:rFonts w:ascii="Arial" w:hAnsi="Arial" w:cs="Arial"/>
              </w:rPr>
            </w:pPr>
            <w:r>
              <w:rPr>
                <w:rFonts w:ascii="Arial" w:hAnsi="Arial" w:cs="Arial"/>
              </w:rPr>
              <w:t>-$801,955</w:t>
            </w:r>
          </w:p>
        </w:tc>
      </w:tr>
      <w:tr w:rsidR="006531A4" w:rsidRPr="00B51D1F" w:rsidTr="002E5982">
        <w:trPr>
          <w:trHeight w:val="263"/>
        </w:trPr>
        <w:tc>
          <w:tcPr>
            <w:tcW w:w="2245" w:type="dxa"/>
            <w:shd w:val="clear" w:color="auto" w:fill="1F4E79" w:themeFill="accent1" w:themeFillShade="80"/>
          </w:tcPr>
          <w:p w:rsidR="006531A4" w:rsidRPr="00B51D1F" w:rsidRDefault="006531A4" w:rsidP="006531A4">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6531A4" w:rsidRPr="00B51D1F" w:rsidRDefault="006531A4" w:rsidP="006531A4">
            <w:pPr>
              <w:rPr>
                <w:rFonts w:ascii="Arial" w:hAnsi="Arial" w:cs="Arial"/>
              </w:rPr>
            </w:pP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Pr>
                <w:rFonts w:ascii="Arial" w:hAnsi="Arial" w:cs="Arial"/>
                <w:b/>
                <w:color w:val="FFFFFF" w:themeColor="background1"/>
              </w:rPr>
              <w:t>Intervenors</w:t>
            </w:r>
          </w:p>
        </w:tc>
        <w:tc>
          <w:tcPr>
            <w:tcW w:w="7650" w:type="dxa"/>
          </w:tcPr>
          <w:p w:rsidR="00125AE9" w:rsidRPr="00B51D1F" w:rsidRDefault="00125AE9" w:rsidP="00125AE9">
            <w:pPr>
              <w:rPr>
                <w:rFonts w:ascii="Arial" w:hAnsi="Arial" w:cs="Arial"/>
              </w:rPr>
            </w:pPr>
            <w:r>
              <w:rPr>
                <w:rFonts w:ascii="Arial" w:hAnsi="Arial" w:cs="Arial"/>
              </w:rPr>
              <w:t>Office of the Utility Consumer Counselor (OUCC)</w:t>
            </w:r>
          </w:p>
        </w:tc>
      </w:tr>
      <w:tr w:rsidR="00125AE9" w:rsidRPr="00B51D1F" w:rsidTr="004E793E">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4E793E">
        <w:trPr>
          <w:trHeight w:val="263"/>
        </w:trPr>
        <w:tc>
          <w:tcPr>
            <w:tcW w:w="9895" w:type="dxa"/>
            <w:gridSpan w:val="2"/>
            <w:shd w:val="clear" w:color="auto" w:fill="FFFFFF" w:themeFill="background1"/>
          </w:tcPr>
          <w:p w:rsidR="00125AE9" w:rsidRDefault="00125AE9" w:rsidP="00125AE9">
            <w:pPr>
              <w:tabs>
                <w:tab w:val="left" w:pos="240"/>
                <w:tab w:val="center" w:pos="4839"/>
              </w:tabs>
              <w:rPr>
                <w:rFonts w:ascii="Arial" w:hAnsi="Arial" w:cs="Arial"/>
              </w:rPr>
            </w:pPr>
            <w:r>
              <w:rPr>
                <w:rFonts w:ascii="Arial" w:hAnsi="Arial" w:cs="Arial"/>
              </w:rPr>
              <w:t xml:space="preserve">On October 1, 2018, the Indiana Gas Company (A subsidiary of Vectren) filed a petition with the Indiana Utility Regulatory Commission (IURC) for approval of a deferral of costs associated with projects to improve the safety, resilience, and reliability of pipeline systems (TDSIC projects) and the creation of sub docket to address approval of a targeted economic development (TED) project in Pendleton, IN.  The sub docket was created on October 10, 2018.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In appro</w:t>
            </w:r>
            <w:r w:rsidR="00C95B31">
              <w:rPr>
                <w:rFonts w:ascii="Arial" w:hAnsi="Arial" w:cs="Arial"/>
              </w:rPr>
              <w:t>ving a TED project, 80% of capital expense is eligible for recovery through the TDSIC tracker proceeding, and the remaining 20% are eligible for deferral.  The proposed Pendleton project called for the provision of natural gas services to two projects; (1) a ready mix concreate plant build by Shelby materials, and (2) a campus for the Giving Hope Foundation which would aid children with special needs.</w:t>
            </w:r>
          </w:p>
          <w:p w:rsidR="00613EE2" w:rsidRDefault="00613EE2" w:rsidP="00125AE9">
            <w:pPr>
              <w:tabs>
                <w:tab w:val="left" w:pos="240"/>
                <w:tab w:val="center" w:pos="4839"/>
              </w:tabs>
              <w:rPr>
                <w:rFonts w:ascii="Arial" w:hAnsi="Arial" w:cs="Arial"/>
              </w:rPr>
            </w:pPr>
          </w:p>
          <w:p w:rsidR="00613EE2" w:rsidRDefault="00613EE2" w:rsidP="00125AE9">
            <w:pPr>
              <w:tabs>
                <w:tab w:val="left" w:pos="240"/>
                <w:tab w:val="center" w:pos="4839"/>
              </w:tabs>
              <w:rPr>
                <w:rFonts w:ascii="Arial" w:hAnsi="Arial" w:cs="Arial"/>
              </w:rPr>
            </w:pPr>
            <w:r>
              <w:rPr>
                <w:rFonts w:ascii="Arial" w:hAnsi="Arial" w:cs="Arial"/>
              </w:rPr>
              <w:t>Upon review, OUCC recommended the project be approved as a part of the company’s TDSIC filing, and on January 29, 2019, the IURC approved the TED project in Pendleton for inclusion in the Indiana Gas Company’s TDSIC plan thus authorizing the recovery of 80% of costs incurred through CSIA and the deferral of 20% of incurred costs for recovery in their next general rate case.</w:t>
            </w:r>
          </w:p>
          <w:p w:rsidR="00125AE9" w:rsidRPr="00B51D1F" w:rsidRDefault="00125AE9" w:rsidP="00125AE9">
            <w:pPr>
              <w:tabs>
                <w:tab w:val="left" w:pos="240"/>
                <w:tab w:val="center" w:pos="4839"/>
              </w:tabs>
              <w:rPr>
                <w:rFonts w:ascii="Arial" w:hAnsi="Arial" w:cs="Arial"/>
              </w:rPr>
            </w:pPr>
          </w:p>
        </w:tc>
      </w:tr>
      <w:tr w:rsidR="00125AE9" w:rsidRPr="00B51D1F" w:rsidTr="00584CF9">
        <w:trPr>
          <w:trHeight w:val="279"/>
        </w:trPr>
        <w:tc>
          <w:tcPr>
            <w:tcW w:w="9895" w:type="dxa"/>
            <w:gridSpan w:val="2"/>
            <w:shd w:val="clear" w:color="auto" w:fill="1F4E79" w:themeFill="accent1" w:themeFillShade="80"/>
          </w:tcPr>
          <w:p w:rsidR="00125AE9" w:rsidRPr="000602A6" w:rsidRDefault="00125AE9" w:rsidP="00125AE9">
            <w:pPr>
              <w:jc w:val="center"/>
              <w:rPr>
                <w:rFonts w:ascii="Arial" w:hAnsi="Arial" w:cs="Arial"/>
                <w:b/>
                <w:color w:val="FFFFFF" w:themeColor="background1"/>
              </w:rPr>
            </w:pPr>
            <w:r>
              <w:rPr>
                <w:rFonts w:ascii="Arial" w:hAnsi="Arial" w:cs="Arial"/>
                <w:b/>
                <w:color w:val="FFFFFF" w:themeColor="background1"/>
              </w:rPr>
              <w:t>January 29, 2019</w:t>
            </w: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125AE9" w:rsidRPr="000602A6" w:rsidRDefault="00125AE9" w:rsidP="00125AE9">
            <w:pPr>
              <w:rPr>
                <w:rFonts w:ascii="Arial" w:hAnsi="Arial" w:cs="Arial"/>
              </w:rPr>
            </w:pPr>
            <w:r>
              <w:rPr>
                <w:rFonts w:ascii="Arial" w:hAnsi="Arial" w:cs="Arial"/>
              </w:rPr>
              <w:t>Southern Indiana Gas and Electric Company</w:t>
            </w: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125AE9" w:rsidRPr="000602A6" w:rsidRDefault="00125AE9" w:rsidP="00125AE9">
            <w:pPr>
              <w:rPr>
                <w:rFonts w:ascii="Arial" w:hAnsi="Arial" w:cs="Arial"/>
              </w:rPr>
            </w:pPr>
            <w:r>
              <w:rPr>
                <w:rFonts w:ascii="Arial" w:hAnsi="Arial" w:cs="Arial"/>
              </w:rPr>
              <w:t>Indiana</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125AE9" w:rsidRPr="008A2167" w:rsidRDefault="00513417" w:rsidP="00125AE9">
            <w:pPr>
              <w:rPr>
                <w:rFonts w:ascii="Arial" w:hAnsi="Arial" w:cs="Arial"/>
              </w:rPr>
            </w:pPr>
            <w:hyperlink r:id="rId13" w:history="1">
              <w:r w:rsidR="00125AE9" w:rsidRPr="008A2167">
                <w:rPr>
                  <w:rStyle w:val="Hyperlink"/>
                  <w:rFonts w:ascii="Helvetica" w:hAnsi="Helvetica" w:cs="Helvetica"/>
                  <w:shd w:val="clear" w:color="auto" w:fill="FFFFFF"/>
                </w:rPr>
                <w:t>44429-TDSIC-9</w:t>
              </w:r>
            </w:hyperlink>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861F4B" w:rsidRDefault="00125AE9" w:rsidP="00125AE9">
            <w:pPr>
              <w:rPr>
                <w:rFonts w:ascii="Arial" w:hAnsi="Arial" w:cs="Arial"/>
              </w:rPr>
            </w:pPr>
            <w:r>
              <w:rPr>
                <w:rFonts w:ascii="Arial" w:hAnsi="Arial" w:cs="Arial"/>
              </w:rPr>
              <w:t>-$801,955</w:t>
            </w:r>
          </w:p>
        </w:tc>
      </w:tr>
      <w:tr w:rsidR="00125AE9" w:rsidRPr="00B51D1F" w:rsidTr="002E5982">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861F4B" w:rsidRDefault="00125AE9" w:rsidP="00125AE9">
            <w:pPr>
              <w:rPr>
                <w:rFonts w:ascii="Arial" w:hAnsi="Arial" w:cs="Arial"/>
              </w:rPr>
            </w:pPr>
          </w:p>
        </w:tc>
      </w:tr>
      <w:tr w:rsidR="00125AE9" w:rsidRPr="00B51D1F" w:rsidTr="002E5982">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125AE9" w:rsidRPr="00861F4B" w:rsidRDefault="00125AE9" w:rsidP="00125AE9">
            <w:pPr>
              <w:rPr>
                <w:rFonts w:ascii="Arial" w:hAnsi="Arial" w:cs="Arial"/>
              </w:rPr>
            </w:pPr>
            <w:r>
              <w:rPr>
                <w:rFonts w:ascii="Arial" w:hAnsi="Arial" w:cs="Arial"/>
              </w:rPr>
              <w:t>Office of the Utility Consumer Counselor (OUCC)</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0E667C">
        <w:trPr>
          <w:trHeight w:val="263"/>
        </w:trPr>
        <w:tc>
          <w:tcPr>
            <w:tcW w:w="9895" w:type="dxa"/>
            <w:gridSpan w:val="2"/>
            <w:shd w:val="clear" w:color="auto" w:fill="auto"/>
          </w:tcPr>
          <w:p w:rsidR="00125AE9" w:rsidRDefault="00125AE9" w:rsidP="00125AE9">
            <w:pPr>
              <w:tabs>
                <w:tab w:val="left" w:pos="240"/>
                <w:tab w:val="center" w:pos="4839"/>
              </w:tabs>
              <w:rPr>
                <w:rFonts w:ascii="Arial" w:hAnsi="Arial" w:cs="Arial"/>
              </w:rPr>
            </w:pPr>
            <w:r>
              <w:rPr>
                <w:rFonts w:ascii="Arial" w:hAnsi="Arial" w:cs="Arial"/>
              </w:rPr>
              <w:t>On October 1, 2018, The Southern Indiana Gas &amp; Electric Company (a subsidiary of Vectren) filed a petition to the Indiana Utility Regulatory Commission (IURC) for an approval of an adjustment to its CSIA charges based on 80% of the calculated revenue requirement on recoverable expenses on any projects to comply with federal mandates or improve the safety, resilience, and reliability of pipeline systems (TDSIC projects) as overseen by the IURC as a part of Vectren’s 7-Year Plan, a 20% deferral of the revenue requirement to any compliance of TDSIC projects, general updates of their seven year plan, and an adjustment to net operating income (NOI).</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Upon review of the filing, OUCC recommended approving the adjustments to the 7-year plan’s compliance </w:t>
            </w:r>
            <w:proofErr w:type="gramStart"/>
            <w:r>
              <w:rPr>
                <w:rFonts w:ascii="Arial" w:hAnsi="Arial" w:cs="Arial"/>
              </w:rPr>
              <w:t>projects, but</w:t>
            </w:r>
            <w:proofErr w:type="gramEnd"/>
            <w:r>
              <w:rPr>
                <w:rFonts w:ascii="Arial" w:hAnsi="Arial" w:cs="Arial"/>
              </w:rPr>
              <w:t xml:space="preserve"> argued that the TDSIC projects outlined in the plan did not offer </w:t>
            </w:r>
            <w:r>
              <w:rPr>
                <w:rFonts w:ascii="Arial" w:hAnsi="Arial" w:cs="Arial"/>
              </w:rPr>
              <w:lastRenderedPageBreak/>
              <w:t>improvements to communication between the company and municipalities, nor did it update plans for any standing TDSIC projects that would require a change in the standing CSIA rate schedule.</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Ultimately, on </w:t>
            </w:r>
            <w:proofErr w:type="gramStart"/>
            <w:r>
              <w:rPr>
                <w:rFonts w:ascii="Arial" w:hAnsi="Arial" w:cs="Arial"/>
              </w:rPr>
              <w:t>January,</w:t>
            </w:r>
            <w:proofErr w:type="gramEnd"/>
            <w:r>
              <w:rPr>
                <w:rFonts w:ascii="Arial" w:hAnsi="Arial" w:cs="Arial"/>
              </w:rPr>
              <w:t xml:space="preserve"> 29, 2019, the IURC approved the update 7-year plan and recommended a more collaborative relationship between The Southern Indiana Gas &amp; Electric Company and the OUCC in order to help reduce costs to rate payers further. The request to recover 80% of costs in connected with the 7-year plan in the amount of $17,277,135 through the CSIA and defer 20% of incurred costs in the amount of $4,319,283 in the company’s next rate case was approved as were general updates to the company’s 7-year plan resulting in rate decrease of $801,955.</w:t>
            </w:r>
          </w:p>
          <w:p w:rsidR="00125AE9" w:rsidRPr="004A577F" w:rsidRDefault="00125AE9" w:rsidP="00125AE9">
            <w:pPr>
              <w:tabs>
                <w:tab w:val="left" w:pos="240"/>
                <w:tab w:val="center" w:pos="4839"/>
              </w:tabs>
              <w:rPr>
                <w:rFonts w:ascii="Arial" w:hAnsi="Arial" w:cs="Arial"/>
              </w:rPr>
            </w:pPr>
          </w:p>
        </w:tc>
      </w:tr>
      <w:tr w:rsidR="00125AE9" w:rsidRPr="000602A6" w:rsidTr="00584CF9">
        <w:trPr>
          <w:trHeight w:val="279"/>
        </w:trPr>
        <w:tc>
          <w:tcPr>
            <w:tcW w:w="9895" w:type="dxa"/>
            <w:gridSpan w:val="2"/>
            <w:shd w:val="clear" w:color="auto" w:fill="1F4E79" w:themeFill="accent1" w:themeFillShade="80"/>
          </w:tcPr>
          <w:p w:rsidR="00125AE9" w:rsidRPr="000602A6" w:rsidRDefault="00125AE9" w:rsidP="00125AE9">
            <w:pPr>
              <w:jc w:val="center"/>
              <w:rPr>
                <w:rFonts w:ascii="Arial" w:hAnsi="Arial" w:cs="Arial"/>
                <w:b/>
                <w:color w:val="FFFFFF" w:themeColor="background1"/>
              </w:rPr>
            </w:pPr>
            <w:r>
              <w:rPr>
                <w:rFonts w:ascii="Arial" w:hAnsi="Arial" w:cs="Arial"/>
                <w:b/>
                <w:color w:val="FFFFFF" w:themeColor="background1"/>
              </w:rPr>
              <w:lastRenderedPageBreak/>
              <w:t>February 5, 2019</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125AE9" w:rsidRPr="000602A6" w:rsidRDefault="00125AE9" w:rsidP="00125AE9">
            <w:pPr>
              <w:rPr>
                <w:rFonts w:ascii="Arial" w:hAnsi="Arial" w:cs="Arial"/>
              </w:rPr>
            </w:pPr>
            <w:r>
              <w:rPr>
                <w:rFonts w:ascii="Arial" w:hAnsi="Arial" w:cs="Arial"/>
              </w:rPr>
              <w:t xml:space="preserve">Kansas Gas Service Company, Inc. </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Pr>
                <w:rFonts w:ascii="Arial" w:hAnsi="Arial" w:cs="Arial"/>
                <w:b/>
                <w:color w:val="FFFFFF" w:themeColor="background1"/>
              </w:rPr>
              <w:t>State</w:t>
            </w:r>
          </w:p>
        </w:tc>
        <w:tc>
          <w:tcPr>
            <w:tcW w:w="7650" w:type="dxa"/>
          </w:tcPr>
          <w:p w:rsidR="00125AE9" w:rsidRPr="000602A6" w:rsidRDefault="00125AE9" w:rsidP="00125AE9">
            <w:pPr>
              <w:rPr>
                <w:rFonts w:ascii="Arial" w:hAnsi="Arial" w:cs="Arial"/>
              </w:rPr>
            </w:pPr>
            <w:r>
              <w:rPr>
                <w:rFonts w:ascii="Arial" w:hAnsi="Arial" w:cs="Arial"/>
              </w:rPr>
              <w:t>Kansas</w:t>
            </w:r>
          </w:p>
        </w:tc>
      </w:tr>
      <w:tr w:rsidR="00125AE9" w:rsidRPr="007268C3"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125AE9" w:rsidRPr="00C73929" w:rsidRDefault="00513417" w:rsidP="00125AE9">
            <w:pPr>
              <w:rPr>
                <w:rFonts w:ascii="Arial" w:hAnsi="Arial" w:cs="Arial"/>
              </w:rPr>
            </w:pPr>
            <w:hyperlink r:id="rId14" w:history="1">
              <w:r w:rsidRPr="00DC6177">
                <w:rPr>
                  <w:rStyle w:val="Hyperlink"/>
                  <w:rFonts w:ascii="Arial" w:hAnsi="Arial" w:cs="Arial"/>
                </w:rPr>
                <w:t>D-18-KGSG-560-RTS</w:t>
              </w:r>
            </w:hyperlink>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861F4B" w:rsidRDefault="00125AE9" w:rsidP="00125AE9">
            <w:pPr>
              <w:rPr>
                <w:rFonts w:ascii="Arial" w:hAnsi="Arial" w:cs="Arial"/>
              </w:rPr>
            </w:pPr>
            <w:r>
              <w:rPr>
                <w:rFonts w:ascii="Arial" w:hAnsi="Arial" w:cs="Arial"/>
              </w:rPr>
              <w:t>$21.5 million</w:t>
            </w:r>
          </w:p>
        </w:tc>
      </w:tr>
      <w:tr w:rsidR="00125AE9" w:rsidRPr="00861F4B"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861F4B" w:rsidRDefault="00125AE9" w:rsidP="00125AE9">
            <w:pPr>
              <w:rPr>
                <w:rFonts w:ascii="Arial" w:hAnsi="Arial" w:cs="Arial"/>
              </w:rPr>
            </w:pPr>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Pr>
                <w:rFonts w:ascii="Arial" w:hAnsi="Arial" w:cs="Arial"/>
                <w:b/>
                <w:color w:val="FFFFFF" w:themeColor="background1"/>
              </w:rPr>
              <w:t>Intervenors</w:t>
            </w:r>
          </w:p>
        </w:tc>
        <w:tc>
          <w:tcPr>
            <w:tcW w:w="7650" w:type="dxa"/>
          </w:tcPr>
          <w:p w:rsidR="00125AE9" w:rsidRPr="00861F4B" w:rsidRDefault="00125AE9" w:rsidP="00125AE9">
            <w:pPr>
              <w:rPr>
                <w:rFonts w:ascii="Arial" w:hAnsi="Arial" w:cs="Arial"/>
              </w:rPr>
            </w:pPr>
            <w:r>
              <w:rPr>
                <w:rFonts w:ascii="Arial" w:hAnsi="Arial" w:cs="Arial"/>
              </w:rPr>
              <w:t>Commission staff, Citizens Utility Ratepayer Board</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584CF9">
        <w:trPr>
          <w:trHeight w:val="263"/>
        </w:trPr>
        <w:tc>
          <w:tcPr>
            <w:tcW w:w="9895" w:type="dxa"/>
            <w:gridSpan w:val="2"/>
            <w:shd w:val="clear" w:color="auto" w:fill="auto"/>
          </w:tcPr>
          <w:p w:rsidR="00125AE9" w:rsidRDefault="00125AE9" w:rsidP="00125AE9">
            <w:pPr>
              <w:tabs>
                <w:tab w:val="left" w:pos="240"/>
                <w:tab w:val="center" w:pos="4839"/>
              </w:tabs>
              <w:rPr>
                <w:rFonts w:ascii="Arial" w:hAnsi="Arial" w:cs="Arial"/>
              </w:rPr>
            </w:pPr>
            <w:r>
              <w:rPr>
                <w:rFonts w:ascii="Arial" w:hAnsi="Arial" w:cs="Arial"/>
              </w:rPr>
              <w:t>The Kansas Corporation Commission approved a settlement agreement for Kansas Gas Service Co. Inc. which resulted in new rates set to take effect February 6. The approved annual increase of $21.5 million will result in customers seeing a $2.40 increase on their monthly bill as part of the agreement.</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A decision on whether Kansas Gas Service will be permitted to keep savings resulting from the federal tax overhaul was not included in the commission’s decision. The company has requested to keep the estimated $17.9 million in savings. </w:t>
            </w:r>
          </w:p>
          <w:p w:rsidR="00125AE9" w:rsidRPr="00FB037F" w:rsidRDefault="00125AE9" w:rsidP="00125AE9">
            <w:pPr>
              <w:tabs>
                <w:tab w:val="left" w:pos="240"/>
                <w:tab w:val="center" w:pos="4839"/>
              </w:tabs>
              <w:rPr>
                <w:rFonts w:ascii="Arial" w:hAnsi="Arial" w:cs="Arial"/>
              </w:rPr>
            </w:pPr>
          </w:p>
        </w:tc>
      </w:tr>
      <w:tr w:rsidR="00125AE9" w:rsidRPr="000602A6" w:rsidTr="00584CF9">
        <w:trPr>
          <w:trHeight w:val="279"/>
        </w:trPr>
        <w:tc>
          <w:tcPr>
            <w:tcW w:w="9895" w:type="dxa"/>
            <w:gridSpan w:val="2"/>
            <w:shd w:val="clear" w:color="auto" w:fill="1F4E79" w:themeFill="accent1" w:themeFillShade="80"/>
          </w:tcPr>
          <w:p w:rsidR="00125AE9" w:rsidRPr="000602A6" w:rsidRDefault="00125AE9" w:rsidP="00125AE9">
            <w:pPr>
              <w:jc w:val="center"/>
              <w:rPr>
                <w:rFonts w:ascii="Arial" w:hAnsi="Arial" w:cs="Arial"/>
                <w:b/>
                <w:color w:val="FFFFFF" w:themeColor="background1"/>
              </w:rPr>
            </w:pPr>
            <w:r>
              <w:rPr>
                <w:rFonts w:ascii="Arial" w:hAnsi="Arial" w:cs="Arial"/>
                <w:b/>
                <w:color w:val="FFFFFF" w:themeColor="background1"/>
              </w:rPr>
              <w:t>February 21, 2019</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125AE9" w:rsidRPr="00C73929" w:rsidRDefault="00125AE9" w:rsidP="00125AE9">
            <w:pPr>
              <w:rPr>
                <w:rFonts w:ascii="Arial" w:hAnsi="Arial" w:cs="Arial"/>
              </w:rPr>
            </w:pPr>
            <w:r>
              <w:rPr>
                <w:rFonts w:ascii="Arial" w:hAnsi="Arial" w:cs="Arial"/>
              </w:rPr>
              <w:t>Puget Sound Energy, Inc.</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125AE9" w:rsidRPr="00C73929" w:rsidRDefault="00125AE9" w:rsidP="00125AE9">
            <w:pPr>
              <w:rPr>
                <w:rFonts w:ascii="Arial" w:hAnsi="Arial" w:cs="Arial"/>
              </w:rPr>
            </w:pPr>
            <w:r>
              <w:rPr>
                <w:rFonts w:ascii="Arial" w:hAnsi="Arial" w:cs="Arial"/>
              </w:rPr>
              <w:t>Washington</w:t>
            </w:r>
          </w:p>
        </w:tc>
      </w:tr>
      <w:tr w:rsidR="00125AE9" w:rsidRPr="007268C3"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125AE9" w:rsidRPr="00C73929" w:rsidRDefault="00513417" w:rsidP="00125AE9">
            <w:pPr>
              <w:rPr>
                <w:rFonts w:ascii="Arial" w:hAnsi="Arial" w:cs="Arial"/>
              </w:rPr>
            </w:pPr>
            <w:hyperlink r:id="rId15" w:history="1">
              <w:r w:rsidRPr="0079176C">
                <w:rPr>
                  <w:rStyle w:val="Hyperlink"/>
                  <w:rFonts w:ascii="Arial" w:hAnsi="Arial" w:cs="Arial"/>
                </w:rPr>
                <w:t>D</w:t>
              </w:r>
              <w:r w:rsidRPr="0079176C">
                <w:rPr>
                  <w:rStyle w:val="Hyperlink"/>
                </w:rPr>
                <w:t>-UG-180900</w:t>
              </w:r>
            </w:hyperlink>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C73929" w:rsidRDefault="00125AE9" w:rsidP="00125AE9">
            <w:pPr>
              <w:rPr>
                <w:rFonts w:ascii="Arial" w:hAnsi="Arial" w:cs="Arial"/>
              </w:rPr>
            </w:pPr>
            <w:r>
              <w:rPr>
                <w:rFonts w:ascii="Arial" w:hAnsi="Arial" w:cs="Arial"/>
              </w:rPr>
              <w:t>$21.5 million</w:t>
            </w:r>
          </w:p>
        </w:tc>
      </w:tr>
      <w:tr w:rsidR="00125AE9" w:rsidRPr="00861F4B"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C73929" w:rsidRDefault="00125AE9" w:rsidP="00125AE9">
            <w:pPr>
              <w:rPr>
                <w:rFonts w:ascii="Arial" w:hAnsi="Arial" w:cs="Arial"/>
              </w:rPr>
            </w:pPr>
            <w:r>
              <w:rPr>
                <w:rFonts w:ascii="Arial" w:hAnsi="Arial" w:cs="Arial"/>
              </w:rPr>
              <w:t>9.5%</w:t>
            </w:r>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125AE9" w:rsidRPr="00C73929" w:rsidRDefault="00125AE9" w:rsidP="00125AE9">
            <w:pPr>
              <w:rPr>
                <w:rFonts w:ascii="Arial" w:hAnsi="Arial" w:cs="Arial"/>
              </w:rPr>
            </w:pPr>
            <w:r>
              <w:rPr>
                <w:rFonts w:ascii="Arial" w:hAnsi="Arial" w:cs="Arial"/>
              </w:rPr>
              <w:t>The Public Counsel, The Alliance of Western Energy Consumers, The Energy Project, federal executive agencies, Nucor Steel Seattle</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63221B">
        <w:trPr>
          <w:trHeight w:val="1007"/>
        </w:trPr>
        <w:tc>
          <w:tcPr>
            <w:tcW w:w="9895" w:type="dxa"/>
            <w:gridSpan w:val="2"/>
            <w:shd w:val="clear" w:color="auto" w:fill="auto"/>
          </w:tcPr>
          <w:p w:rsidR="00125AE9" w:rsidRDefault="00125AE9" w:rsidP="00125AE9">
            <w:pPr>
              <w:tabs>
                <w:tab w:val="left" w:pos="240"/>
                <w:tab w:val="center" w:pos="4839"/>
              </w:tabs>
              <w:rPr>
                <w:rFonts w:ascii="Arial" w:hAnsi="Arial" w:cs="Arial"/>
              </w:rPr>
            </w:pPr>
            <w:r>
              <w:rPr>
                <w:rFonts w:ascii="Arial" w:hAnsi="Arial" w:cs="Arial"/>
              </w:rPr>
              <w:t xml:space="preserve">In an expedited rate filing for Puget Sound Energy, the Washington Utilities Commission conditionally approved a settlement on February 21 authorizing the company to implement a gas rate increase of $21.5 million, or 2.9%, effective March 1.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In November 2018, PSE submitted an ERF seeking to implement a $21.7 million, or 2.7%, gas rate increase. The rate </w:t>
            </w:r>
            <w:proofErr w:type="gramStart"/>
            <w:r>
              <w:rPr>
                <w:rFonts w:ascii="Arial" w:hAnsi="Arial" w:cs="Arial"/>
              </w:rPr>
              <w:t>change</w:t>
            </w:r>
            <w:proofErr w:type="gramEnd"/>
            <w:r>
              <w:rPr>
                <w:rFonts w:ascii="Arial" w:hAnsi="Arial" w:cs="Arial"/>
              </w:rPr>
              <w:t xml:space="preserve"> reflected return parameters established in the company’s last base rate case, namely a 9.5% return on equity and 7.49% overall return.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lastRenderedPageBreak/>
              <w:t xml:space="preserve">The company indicated that while it could support a $37.5 million gas rate hike, it limited its requested increase in accordance with prior applications of the ERF that have limited rate increases to less than 3%. The ERF was submitted in accordance with the terms of the settlement adopted in the PSE’s previous rate case, which allowed for PSE to submit and ERF within one year of the final order that would allow for new rates resulting from the ERF to become effective within 120 days of the ERF filing.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The settlement did not include recovery of or on the company’s investment in advanced metering infrastructure. However, PSE would be permitted to defer the return on investment and depreciation expense associated with advanced metering infrastructure, subject to consideration by the Commission in PSE’s next proceeding. </w:t>
            </w:r>
          </w:p>
          <w:p w:rsidR="00125AE9" w:rsidRPr="0024763A" w:rsidRDefault="00125AE9" w:rsidP="00125AE9">
            <w:pPr>
              <w:tabs>
                <w:tab w:val="left" w:pos="240"/>
                <w:tab w:val="center" w:pos="4839"/>
              </w:tabs>
              <w:rPr>
                <w:rFonts w:ascii="Arial" w:hAnsi="Arial" w:cs="Arial"/>
              </w:rPr>
            </w:pPr>
          </w:p>
        </w:tc>
      </w:tr>
      <w:tr w:rsidR="00125AE9" w:rsidRPr="000602A6" w:rsidTr="00584CF9">
        <w:trPr>
          <w:trHeight w:val="279"/>
        </w:trPr>
        <w:tc>
          <w:tcPr>
            <w:tcW w:w="9895" w:type="dxa"/>
            <w:gridSpan w:val="2"/>
            <w:shd w:val="clear" w:color="auto" w:fill="1F4E79" w:themeFill="accent1" w:themeFillShade="80"/>
          </w:tcPr>
          <w:p w:rsidR="00125AE9" w:rsidRPr="000602A6" w:rsidRDefault="00125AE9" w:rsidP="00125AE9">
            <w:pPr>
              <w:jc w:val="center"/>
              <w:rPr>
                <w:rFonts w:ascii="Arial" w:hAnsi="Arial" w:cs="Arial"/>
                <w:b/>
                <w:color w:val="FFFFFF" w:themeColor="background1"/>
              </w:rPr>
            </w:pPr>
            <w:r>
              <w:rPr>
                <w:rFonts w:ascii="Arial" w:hAnsi="Arial" w:cs="Arial"/>
                <w:b/>
                <w:color w:val="FFFFFF" w:themeColor="background1"/>
              </w:rPr>
              <w:lastRenderedPageBreak/>
              <w:t>March 14, 2019</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Company</w:t>
            </w:r>
          </w:p>
        </w:tc>
        <w:tc>
          <w:tcPr>
            <w:tcW w:w="7650" w:type="dxa"/>
          </w:tcPr>
          <w:p w:rsidR="00125AE9" w:rsidRPr="000602A6" w:rsidRDefault="00125AE9" w:rsidP="00125AE9">
            <w:pPr>
              <w:rPr>
                <w:rFonts w:ascii="Arial" w:hAnsi="Arial" w:cs="Arial"/>
              </w:rPr>
            </w:pPr>
            <w:r>
              <w:rPr>
                <w:rFonts w:ascii="Arial" w:hAnsi="Arial" w:cs="Arial"/>
              </w:rPr>
              <w:t>Orange and Rockland Utilities, Inc.</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125AE9" w:rsidRPr="000602A6" w:rsidRDefault="00125AE9" w:rsidP="00125AE9">
            <w:pPr>
              <w:rPr>
                <w:rFonts w:ascii="Arial" w:hAnsi="Arial" w:cs="Arial"/>
              </w:rPr>
            </w:pPr>
            <w:r>
              <w:rPr>
                <w:rFonts w:ascii="Arial" w:hAnsi="Arial" w:cs="Arial"/>
              </w:rPr>
              <w:t>New York</w:t>
            </w:r>
          </w:p>
        </w:tc>
      </w:tr>
      <w:tr w:rsidR="00513417" w:rsidRPr="007268C3" w:rsidTr="00584CF9">
        <w:trPr>
          <w:trHeight w:val="263"/>
        </w:trPr>
        <w:tc>
          <w:tcPr>
            <w:tcW w:w="2245" w:type="dxa"/>
            <w:shd w:val="clear" w:color="auto" w:fill="1F4E79" w:themeFill="accent1" w:themeFillShade="80"/>
          </w:tcPr>
          <w:p w:rsidR="00513417" w:rsidRPr="00B51D1F" w:rsidRDefault="00513417" w:rsidP="00513417">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513417" w:rsidRPr="00C73929" w:rsidRDefault="00513417" w:rsidP="00513417">
            <w:pPr>
              <w:rPr>
                <w:rFonts w:ascii="Arial" w:hAnsi="Arial" w:cs="Arial"/>
              </w:rPr>
            </w:pPr>
            <w:r>
              <w:rPr>
                <w:rStyle w:val="Hyperlink"/>
              </w:rPr>
              <w:t>C-18-G-0068</w:t>
            </w:r>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861F4B" w:rsidRDefault="00125AE9" w:rsidP="00125AE9">
            <w:pPr>
              <w:rPr>
                <w:rFonts w:ascii="Arial" w:hAnsi="Arial" w:cs="Arial"/>
              </w:rPr>
            </w:pPr>
            <w:r>
              <w:rPr>
                <w:rFonts w:ascii="Arial" w:hAnsi="Arial" w:cs="Arial"/>
              </w:rPr>
              <w:t>$700,000</w:t>
            </w:r>
          </w:p>
        </w:tc>
      </w:tr>
      <w:tr w:rsidR="00125AE9" w:rsidRPr="00861F4B"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861F4B" w:rsidRDefault="00125AE9" w:rsidP="00125AE9">
            <w:pPr>
              <w:rPr>
                <w:rFonts w:ascii="Arial" w:hAnsi="Arial" w:cs="Arial"/>
              </w:rPr>
            </w:pPr>
            <w:r>
              <w:rPr>
                <w:rFonts w:ascii="Arial" w:hAnsi="Arial" w:cs="Arial"/>
              </w:rPr>
              <w:t>9%</w:t>
            </w:r>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125AE9" w:rsidRPr="00861F4B" w:rsidRDefault="00125AE9" w:rsidP="00125AE9">
            <w:pPr>
              <w:rPr>
                <w:rFonts w:ascii="Arial" w:hAnsi="Arial" w:cs="Arial"/>
              </w:rPr>
            </w:pPr>
            <w:r>
              <w:rPr>
                <w:rFonts w:ascii="Arial" w:hAnsi="Arial" w:cs="Arial"/>
              </w:rPr>
              <w:t>Commission staff</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584CF9">
        <w:trPr>
          <w:trHeight w:val="263"/>
        </w:trPr>
        <w:tc>
          <w:tcPr>
            <w:tcW w:w="9895" w:type="dxa"/>
            <w:gridSpan w:val="2"/>
            <w:shd w:val="clear" w:color="auto" w:fill="auto"/>
          </w:tcPr>
          <w:p w:rsidR="00125AE9" w:rsidRDefault="00125AE9" w:rsidP="00125AE9">
            <w:pPr>
              <w:tabs>
                <w:tab w:val="left" w:pos="240"/>
                <w:tab w:val="center" w:pos="4839"/>
              </w:tabs>
              <w:rPr>
                <w:rFonts w:ascii="Arial" w:hAnsi="Arial" w:cs="Arial"/>
              </w:rPr>
            </w:pPr>
            <w:r>
              <w:rPr>
                <w:rFonts w:ascii="Arial" w:hAnsi="Arial" w:cs="Arial"/>
              </w:rPr>
              <w:t>On March 14, a three-year joint proposal for Orange and Rockland Utilities Inc.’s electric and gas operations, covering January 1, 2019 through December 31, 2021, was approved by the New York Public Service Commission.</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sidRPr="000902D3">
              <w:rPr>
                <w:rFonts w:ascii="Arial" w:hAnsi="Arial" w:cs="Arial"/>
              </w:rPr>
              <w:t xml:space="preserve">Under the approved proposal, regarding gas operations, ORU is authorized to implement a $7.5 million gas reduction, retroactive to January 1, 2019, based on a 9% return on equity and a 6.97% return on gas rate base valued at $454 million. The company is to implement an incremental $3.6 million gas rate increase effective January 1, 2020 and a $700,000 gas rates increase effective January 1, 2021. The </w:t>
            </w:r>
            <w:r>
              <w:rPr>
                <w:rFonts w:ascii="Arial" w:hAnsi="Arial" w:cs="Arial"/>
              </w:rPr>
              <w:t>joint</w:t>
            </w:r>
            <w:r w:rsidRPr="000902D3">
              <w:rPr>
                <w:rFonts w:ascii="Arial" w:hAnsi="Arial" w:cs="Arial"/>
              </w:rPr>
              <w:t xml:space="preserve"> proposal calls for</w:t>
            </w:r>
            <w:r>
              <w:rPr>
                <w:rFonts w:ascii="Arial" w:hAnsi="Arial" w:cs="Arial"/>
              </w:rPr>
              <w:t xml:space="preserve"> a $5.9 million gas rate reduction January 1, 2019, an increase of about $1 million January 1, 2020 and an additional $1 million increase January 1, 2021.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The approved joint proposal includes earning-sharing provisions under which actual earnings between 9.6% and 10.2% ROE are to be shared equally by ratepayers and shareholders. Incremental earnings between 10.2% and 10.8% ROE are to be allocated 75% to ratepayers and 25% to shareholders, and incremental earnings </w:t>
            </w:r>
            <w:proofErr w:type="gramStart"/>
            <w:r>
              <w:rPr>
                <w:rFonts w:ascii="Arial" w:hAnsi="Arial" w:cs="Arial"/>
              </w:rPr>
              <w:t>in excess of</w:t>
            </w:r>
            <w:proofErr w:type="gramEnd"/>
            <w:r>
              <w:rPr>
                <w:rFonts w:ascii="Arial" w:hAnsi="Arial" w:cs="Arial"/>
              </w:rPr>
              <w:t xml:space="preserve"> 10.8% equity return are to be shared 90% with ratepayers and 10% with shareholders. </w:t>
            </w:r>
          </w:p>
          <w:p w:rsidR="00125AE9" w:rsidRDefault="00125AE9" w:rsidP="00125AE9">
            <w:pPr>
              <w:tabs>
                <w:tab w:val="left" w:pos="240"/>
                <w:tab w:val="center" w:pos="4839"/>
              </w:tabs>
              <w:rPr>
                <w:rFonts w:ascii="Arial" w:hAnsi="Arial" w:cs="Arial"/>
              </w:rPr>
            </w:pPr>
          </w:p>
          <w:p w:rsidR="00125AE9" w:rsidRPr="00570B89" w:rsidRDefault="00125AE9" w:rsidP="00125AE9">
            <w:pPr>
              <w:tabs>
                <w:tab w:val="left" w:pos="240"/>
                <w:tab w:val="center" w:pos="4839"/>
              </w:tabs>
              <w:rPr>
                <w:rFonts w:ascii="Arial" w:hAnsi="Arial" w:cs="Arial"/>
              </w:rPr>
            </w:pPr>
            <w:r>
              <w:rPr>
                <w:rFonts w:ascii="Arial" w:hAnsi="Arial" w:cs="Arial"/>
              </w:rPr>
              <w:t xml:space="preserve">The approved joint proposal calls for the company to amortize deferred balances of $8.2 million (for gas operations) related to overcollections during calendar year 2018 over three years commencing January 1, 2019. ORU is to amortize protected excess deferred income tax balances resulting from tax reform over the remaining life of the underlying assets and unprotected excess deferred income tax balances over 15 years commencing January 1, 2019.  ORU will continue deferral accounting of property taxes, pensions, post-employment benefits, etc. The company’s existing revenue decoupling mechanisms will remain in place. </w:t>
            </w:r>
          </w:p>
        </w:tc>
      </w:tr>
      <w:tr w:rsidR="00125AE9" w:rsidRPr="000602A6" w:rsidTr="00584CF9">
        <w:trPr>
          <w:trHeight w:val="279"/>
        </w:trPr>
        <w:tc>
          <w:tcPr>
            <w:tcW w:w="9895" w:type="dxa"/>
            <w:gridSpan w:val="2"/>
            <w:shd w:val="clear" w:color="auto" w:fill="1F4E79" w:themeFill="accent1" w:themeFillShade="80"/>
          </w:tcPr>
          <w:p w:rsidR="00125AE9" w:rsidRPr="000602A6" w:rsidRDefault="00125AE9" w:rsidP="00125AE9">
            <w:pPr>
              <w:jc w:val="center"/>
              <w:rPr>
                <w:rFonts w:ascii="Arial" w:hAnsi="Arial" w:cs="Arial"/>
                <w:b/>
                <w:color w:val="FFFFFF" w:themeColor="background1"/>
              </w:rPr>
            </w:pPr>
            <w:r>
              <w:rPr>
                <w:rFonts w:ascii="Arial" w:hAnsi="Arial" w:cs="Arial"/>
                <w:b/>
                <w:color w:val="FFFFFF" w:themeColor="background1"/>
              </w:rPr>
              <w:t>March 27, 2019</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lastRenderedPageBreak/>
              <w:t>Company</w:t>
            </w:r>
          </w:p>
        </w:tc>
        <w:tc>
          <w:tcPr>
            <w:tcW w:w="7650" w:type="dxa"/>
          </w:tcPr>
          <w:p w:rsidR="00125AE9" w:rsidRPr="000602A6" w:rsidRDefault="00125AE9" w:rsidP="00125AE9">
            <w:pPr>
              <w:rPr>
                <w:rFonts w:ascii="Arial" w:hAnsi="Arial" w:cs="Arial"/>
              </w:rPr>
            </w:pPr>
            <w:r>
              <w:rPr>
                <w:rFonts w:ascii="Arial" w:hAnsi="Arial" w:cs="Arial"/>
              </w:rPr>
              <w:t>Duke Energy Kentucky, Inc.</w:t>
            </w:r>
          </w:p>
        </w:tc>
      </w:tr>
      <w:tr w:rsidR="00125AE9" w:rsidRPr="000602A6"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State</w:t>
            </w:r>
          </w:p>
        </w:tc>
        <w:tc>
          <w:tcPr>
            <w:tcW w:w="7650" w:type="dxa"/>
          </w:tcPr>
          <w:p w:rsidR="00125AE9" w:rsidRPr="000602A6" w:rsidRDefault="00125AE9" w:rsidP="00125AE9">
            <w:pPr>
              <w:rPr>
                <w:rFonts w:ascii="Arial" w:hAnsi="Arial" w:cs="Arial"/>
              </w:rPr>
            </w:pPr>
            <w:r>
              <w:rPr>
                <w:rFonts w:ascii="Arial" w:hAnsi="Arial" w:cs="Arial"/>
              </w:rPr>
              <w:t>Kentucky</w:t>
            </w:r>
          </w:p>
        </w:tc>
      </w:tr>
      <w:tr w:rsidR="00125AE9" w:rsidRPr="007268C3"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Docket Number</w:t>
            </w:r>
          </w:p>
        </w:tc>
        <w:tc>
          <w:tcPr>
            <w:tcW w:w="7650" w:type="dxa"/>
          </w:tcPr>
          <w:p w:rsidR="00125AE9" w:rsidRPr="007268C3" w:rsidRDefault="00513417" w:rsidP="00125AE9">
            <w:pPr>
              <w:rPr>
                <w:rFonts w:ascii="Arial" w:hAnsi="Arial" w:cs="Arial"/>
              </w:rPr>
            </w:pPr>
            <w:hyperlink r:id="rId16" w:history="1">
              <w:r w:rsidRPr="00236C43">
                <w:rPr>
                  <w:rStyle w:val="Hyperlink"/>
                  <w:rFonts w:ascii="Arial" w:hAnsi="Arial" w:cs="Arial"/>
                </w:rPr>
                <w:t>C</w:t>
              </w:r>
              <w:r w:rsidRPr="00236C43">
                <w:rPr>
                  <w:rStyle w:val="Hyperlink"/>
                </w:rPr>
                <w:t>-2018-00261</w:t>
              </w:r>
            </w:hyperlink>
            <w:bookmarkStart w:id="0" w:name="_GoBack"/>
            <w:bookmarkEnd w:id="0"/>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Increase</w:t>
            </w:r>
          </w:p>
        </w:tc>
        <w:tc>
          <w:tcPr>
            <w:tcW w:w="7650" w:type="dxa"/>
          </w:tcPr>
          <w:p w:rsidR="00125AE9" w:rsidRPr="00861F4B" w:rsidRDefault="00125AE9" w:rsidP="00125AE9">
            <w:pPr>
              <w:rPr>
                <w:rFonts w:ascii="Arial" w:hAnsi="Arial" w:cs="Arial"/>
              </w:rPr>
            </w:pPr>
            <w:r>
              <w:rPr>
                <w:rFonts w:ascii="Arial" w:hAnsi="Arial" w:cs="Arial"/>
              </w:rPr>
              <w:t>$7.4 million</w:t>
            </w:r>
          </w:p>
        </w:tc>
      </w:tr>
      <w:tr w:rsidR="00125AE9" w:rsidRPr="00861F4B" w:rsidTr="00584CF9">
        <w:trPr>
          <w:trHeight w:val="263"/>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Approved ROE</w:t>
            </w:r>
          </w:p>
        </w:tc>
        <w:tc>
          <w:tcPr>
            <w:tcW w:w="7650" w:type="dxa"/>
          </w:tcPr>
          <w:p w:rsidR="00125AE9" w:rsidRPr="00861F4B" w:rsidRDefault="00125AE9" w:rsidP="00125AE9">
            <w:pPr>
              <w:rPr>
                <w:rFonts w:ascii="Arial" w:hAnsi="Arial" w:cs="Arial"/>
              </w:rPr>
            </w:pPr>
          </w:p>
        </w:tc>
      </w:tr>
      <w:tr w:rsidR="00125AE9" w:rsidRPr="00861F4B" w:rsidTr="00584CF9">
        <w:trPr>
          <w:trHeight w:val="279"/>
        </w:trPr>
        <w:tc>
          <w:tcPr>
            <w:tcW w:w="2245" w:type="dxa"/>
            <w:shd w:val="clear" w:color="auto" w:fill="1F4E79" w:themeFill="accent1" w:themeFillShade="80"/>
          </w:tcPr>
          <w:p w:rsidR="00125AE9" w:rsidRPr="00B51D1F" w:rsidRDefault="00125AE9" w:rsidP="00125AE9">
            <w:pPr>
              <w:rPr>
                <w:rFonts w:ascii="Arial" w:hAnsi="Arial" w:cs="Arial"/>
                <w:b/>
                <w:color w:val="FFFFFF" w:themeColor="background1"/>
              </w:rPr>
            </w:pPr>
            <w:r w:rsidRPr="00B51D1F">
              <w:rPr>
                <w:rFonts w:ascii="Arial" w:hAnsi="Arial" w:cs="Arial"/>
                <w:b/>
                <w:color w:val="FFFFFF" w:themeColor="background1"/>
              </w:rPr>
              <w:t>Intervenors</w:t>
            </w:r>
          </w:p>
        </w:tc>
        <w:tc>
          <w:tcPr>
            <w:tcW w:w="7650" w:type="dxa"/>
          </w:tcPr>
          <w:p w:rsidR="00125AE9" w:rsidRPr="00861F4B" w:rsidRDefault="00125AE9" w:rsidP="00125AE9">
            <w:pPr>
              <w:rPr>
                <w:rFonts w:ascii="Arial" w:hAnsi="Arial" w:cs="Arial"/>
              </w:rPr>
            </w:pPr>
            <w:r>
              <w:rPr>
                <w:rFonts w:ascii="Arial" w:hAnsi="Arial" w:cs="Arial"/>
              </w:rPr>
              <w:t xml:space="preserve">Kentucky Attorney General </w:t>
            </w:r>
          </w:p>
        </w:tc>
      </w:tr>
      <w:tr w:rsidR="00125AE9" w:rsidRPr="00B51D1F" w:rsidTr="00584CF9">
        <w:trPr>
          <w:trHeight w:val="263"/>
        </w:trPr>
        <w:tc>
          <w:tcPr>
            <w:tcW w:w="9895" w:type="dxa"/>
            <w:gridSpan w:val="2"/>
            <w:shd w:val="clear" w:color="auto" w:fill="1F4E79" w:themeFill="accent1" w:themeFillShade="80"/>
          </w:tcPr>
          <w:p w:rsidR="00125AE9" w:rsidRPr="00B51D1F" w:rsidRDefault="00125AE9" w:rsidP="00125AE9">
            <w:pPr>
              <w:tabs>
                <w:tab w:val="left" w:pos="240"/>
                <w:tab w:val="center" w:pos="4839"/>
              </w:tabs>
              <w:rPr>
                <w:rFonts w:ascii="Arial" w:hAnsi="Arial" w:cs="Arial"/>
                <w:b/>
              </w:rPr>
            </w:pPr>
            <w:r w:rsidRPr="00B51D1F">
              <w:rPr>
                <w:rFonts w:ascii="Arial" w:hAnsi="Arial" w:cs="Arial"/>
              </w:rPr>
              <w:tab/>
            </w:r>
            <w:r w:rsidRPr="00B51D1F">
              <w:rPr>
                <w:rFonts w:ascii="Arial" w:hAnsi="Arial" w:cs="Arial"/>
              </w:rPr>
              <w:tab/>
            </w:r>
            <w:r w:rsidRPr="00B51D1F">
              <w:rPr>
                <w:rFonts w:ascii="Arial" w:hAnsi="Arial" w:cs="Arial"/>
                <w:b/>
                <w:color w:val="FFFFFF" w:themeColor="background1"/>
              </w:rPr>
              <w:t>Case Summary</w:t>
            </w:r>
          </w:p>
        </w:tc>
      </w:tr>
      <w:tr w:rsidR="00125AE9" w:rsidRPr="00B51D1F" w:rsidTr="00584CF9">
        <w:trPr>
          <w:trHeight w:val="263"/>
        </w:trPr>
        <w:tc>
          <w:tcPr>
            <w:tcW w:w="9895" w:type="dxa"/>
            <w:gridSpan w:val="2"/>
            <w:shd w:val="clear" w:color="auto" w:fill="auto"/>
          </w:tcPr>
          <w:p w:rsidR="00125AE9" w:rsidRDefault="00125AE9" w:rsidP="00125AE9">
            <w:pPr>
              <w:tabs>
                <w:tab w:val="left" w:pos="240"/>
                <w:tab w:val="center" w:pos="4839"/>
              </w:tabs>
              <w:rPr>
                <w:rFonts w:ascii="Arial" w:hAnsi="Arial" w:cs="Arial"/>
              </w:rPr>
            </w:pPr>
            <w:r>
              <w:rPr>
                <w:rFonts w:ascii="Arial" w:hAnsi="Arial" w:cs="Arial"/>
              </w:rPr>
              <w:t xml:space="preserve">The Kentucky Public Service Commission largely adopted a March 27 settlement permitting Duke Energy Kentucky Inc, to implement a $7.4 million, or 7.7% gas distribution base rate increase. Minor modifications to the settlement, adopted by the commission, pertained to rate design.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The primary impetus for the rate case filing was to recover recent infrastructure investments, including the Big Bone gas pipeline and digital metering equipment. </w:t>
            </w:r>
          </w:p>
          <w:p w:rsidR="00125AE9" w:rsidRDefault="00125AE9" w:rsidP="00125AE9">
            <w:pPr>
              <w:tabs>
                <w:tab w:val="left" w:pos="240"/>
                <w:tab w:val="center" w:pos="4839"/>
              </w:tabs>
              <w:rPr>
                <w:rFonts w:ascii="Arial" w:hAnsi="Arial" w:cs="Arial"/>
              </w:rPr>
            </w:pPr>
          </w:p>
          <w:p w:rsidR="00125AE9" w:rsidRDefault="00125AE9" w:rsidP="00125AE9">
            <w:pPr>
              <w:tabs>
                <w:tab w:val="left" w:pos="240"/>
                <w:tab w:val="center" w:pos="4839"/>
              </w:tabs>
              <w:rPr>
                <w:rFonts w:ascii="Arial" w:hAnsi="Arial" w:cs="Arial"/>
              </w:rPr>
            </w:pPr>
            <w:r>
              <w:rPr>
                <w:rFonts w:ascii="Arial" w:hAnsi="Arial" w:cs="Arial"/>
              </w:rPr>
              <w:t xml:space="preserve">The company’s proposed weather normalization adjustment rider is to be put into place for residential and general service customers but not for commercial customers, as proposed. </w:t>
            </w:r>
          </w:p>
          <w:p w:rsidR="00125AE9" w:rsidRDefault="00125AE9" w:rsidP="00125AE9">
            <w:pPr>
              <w:tabs>
                <w:tab w:val="left" w:pos="240"/>
                <w:tab w:val="center" w:pos="4839"/>
              </w:tabs>
              <w:rPr>
                <w:rFonts w:ascii="Arial" w:hAnsi="Arial" w:cs="Arial"/>
              </w:rPr>
            </w:pPr>
          </w:p>
          <w:p w:rsidR="00125AE9" w:rsidRPr="009000A9" w:rsidRDefault="00125AE9" w:rsidP="00125AE9">
            <w:pPr>
              <w:tabs>
                <w:tab w:val="left" w:pos="240"/>
                <w:tab w:val="center" w:pos="4839"/>
              </w:tabs>
              <w:rPr>
                <w:rFonts w:ascii="Arial" w:hAnsi="Arial" w:cs="Arial"/>
              </w:rPr>
            </w:pPr>
            <w:r>
              <w:rPr>
                <w:rFonts w:ascii="Arial" w:hAnsi="Arial" w:cs="Arial"/>
              </w:rPr>
              <w:t xml:space="preserve">The authorized rate increase is premised upon a 9.7% return on equity and a $313.4 million rate base. The settlement and the PSC order do not explicitly identify the stipulated capital structure but did provide for adoption of a 7.07% overall return and a capital structure that includes a 50.76% common equity component. </w:t>
            </w:r>
          </w:p>
        </w:tc>
      </w:tr>
    </w:tbl>
    <w:p w:rsidR="00DB1A39" w:rsidRPr="00B51D1F" w:rsidRDefault="00DB1A39" w:rsidP="009965F4">
      <w:pPr>
        <w:rPr>
          <w:rFonts w:ascii="Arial" w:hAnsi="Arial" w:cs="Arial"/>
        </w:rPr>
      </w:pPr>
      <w:r w:rsidRPr="00B51D1F">
        <w:rPr>
          <w:rFonts w:ascii="Arial" w:hAnsi="Arial" w:cs="Arial"/>
          <w:i/>
          <w:iCs/>
          <w:color w:val="000000"/>
          <w:sz w:val="18"/>
          <w:szCs w:val="18"/>
        </w:rPr>
        <w:t>This document has been prepared by the American Gas Association for members. In issuing and making this publication available, AGA is not undertaking to render professional or other services for or on behalf of any person or entity. Nor is AGA undertaking to perform any duty owed by any person or entity to someone else. The statements in this publication are for general information only and it does not provide a legal opinion or legal advice for any purpose. Information on the topics covered by this publication may be available from other sources, which the user may wish to consult for additional views or information not covered by this publication. © Copyright 201</w:t>
      </w:r>
      <w:r w:rsidR="00963890">
        <w:rPr>
          <w:rFonts w:ascii="Arial" w:hAnsi="Arial" w:cs="Arial"/>
          <w:i/>
          <w:iCs/>
          <w:color w:val="000000"/>
          <w:sz w:val="18"/>
          <w:szCs w:val="18"/>
        </w:rPr>
        <w:t>9</w:t>
      </w:r>
      <w:r w:rsidR="00CC364C" w:rsidRPr="00B51D1F">
        <w:rPr>
          <w:rFonts w:ascii="Arial" w:hAnsi="Arial" w:cs="Arial"/>
          <w:i/>
          <w:iCs/>
          <w:color w:val="000000"/>
          <w:sz w:val="18"/>
          <w:szCs w:val="18"/>
        </w:rPr>
        <w:t xml:space="preserve"> </w:t>
      </w:r>
      <w:r w:rsidRPr="00B51D1F">
        <w:rPr>
          <w:rFonts w:ascii="Arial" w:hAnsi="Arial" w:cs="Arial"/>
          <w:i/>
          <w:iCs/>
          <w:color w:val="000000"/>
          <w:sz w:val="18"/>
          <w:szCs w:val="18"/>
        </w:rPr>
        <w:t xml:space="preserve">American Gas Association. All Rights Reserved. </w:t>
      </w:r>
      <w:hyperlink r:id="rId17" w:history="1">
        <w:r w:rsidRPr="00B51D1F">
          <w:rPr>
            <w:rStyle w:val="Hyperlink"/>
            <w:rFonts w:ascii="Arial" w:hAnsi="Arial" w:cs="Arial"/>
            <w:i/>
            <w:iCs/>
            <w:sz w:val="18"/>
            <w:szCs w:val="18"/>
          </w:rPr>
          <w:t>www.aga.org</w:t>
        </w:r>
      </w:hyperlink>
    </w:p>
    <w:sectPr w:rsidR="00DB1A39" w:rsidRPr="00B51D1F">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D4D" w:rsidRDefault="004E5D4D" w:rsidP="00DE7014">
      <w:pPr>
        <w:spacing w:after="0" w:line="240" w:lineRule="auto"/>
      </w:pPr>
      <w:r>
        <w:separator/>
      </w:r>
    </w:p>
  </w:endnote>
  <w:endnote w:type="continuationSeparator" w:id="0">
    <w:p w:rsidR="004E5D4D" w:rsidRDefault="004E5D4D" w:rsidP="00DE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937707"/>
      <w:docPartObj>
        <w:docPartGallery w:val="Page Numbers (Bottom of Page)"/>
        <w:docPartUnique/>
      </w:docPartObj>
    </w:sdtPr>
    <w:sdtEndPr>
      <w:rPr>
        <w:noProof/>
      </w:rPr>
    </w:sdtEndPr>
    <w:sdtContent>
      <w:p w:rsidR="00584CF9" w:rsidRDefault="00584CF9">
        <w:pPr>
          <w:pStyle w:val="Footer"/>
          <w:jc w:val="right"/>
        </w:pPr>
        <w:r>
          <w:fldChar w:fldCharType="begin"/>
        </w:r>
        <w:r>
          <w:instrText xml:space="preserve"> PAGE   \* MERGEFORMAT </w:instrText>
        </w:r>
        <w:r>
          <w:fldChar w:fldCharType="separate"/>
        </w:r>
        <w:r w:rsidR="00BD7495">
          <w:rPr>
            <w:noProof/>
          </w:rPr>
          <w:t>10</w:t>
        </w:r>
        <w:r>
          <w:rPr>
            <w:noProof/>
          </w:rPr>
          <w:fldChar w:fldCharType="end"/>
        </w:r>
      </w:p>
    </w:sdtContent>
  </w:sdt>
  <w:p w:rsidR="00584CF9" w:rsidRDefault="00584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D4D" w:rsidRDefault="004E5D4D" w:rsidP="00DE7014">
      <w:pPr>
        <w:spacing w:after="0" w:line="240" w:lineRule="auto"/>
      </w:pPr>
      <w:r>
        <w:separator/>
      </w:r>
    </w:p>
  </w:footnote>
  <w:footnote w:type="continuationSeparator" w:id="0">
    <w:p w:rsidR="004E5D4D" w:rsidRDefault="004E5D4D" w:rsidP="00DE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CF9" w:rsidRDefault="00584CF9">
    <w:pPr>
      <w:pStyle w:val="Header"/>
    </w:pPr>
    <w:r>
      <w:rPr>
        <w:noProof/>
      </w:rPr>
      <mc:AlternateContent>
        <mc:Choice Requires="wps">
          <w:drawing>
            <wp:anchor distT="0" distB="0" distL="114300" distR="114300" simplePos="0" relativeHeight="251661312" behindDoc="0" locked="0" layoutInCell="1" allowOverlap="1" wp14:anchorId="5CAE5A8C" wp14:editId="383095F6">
              <wp:simplePos x="0" y="0"/>
              <wp:positionH relativeFrom="column">
                <wp:posOffset>-533400</wp:posOffset>
              </wp:positionH>
              <wp:positionV relativeFrom="paragraph">
                <wp:posOffset>0</wp:posOffset>
              </wp:positionV>
              <wp:extent cx="6858000" cy="866775"/>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8667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584CF9" w:rsidRPr="006C3E85" w:rsidRDefault="0063501E" w:rsidP="006C3E85">
                          <w:pPr>
                            <w:rPr>
                              <w:rFonts w:ascii="Arial" w:hAnsi="Arial"/>
                              <w:b/>
                              <w:color w:val="FFFFFF" w:themeColor="background1"/>
                              <w:sz w:val="20"/>
                              <w:szCs w:val="20"/>
                            </w:rPr>
                          </w:pPr>
                          <w:r>
                            <w:rPr>
                              <w:rFonts w:ascii="Arial" w:hAnsi="Arial"/>
                              <w:b/>
                              <w:color w:val="FFFFFF" w:themeColor="background1"/>
                              <w:sz w:val="20"/>
                              <w:szCs w:val="20"/>
                            </w:rPr>
                            <w:t>January 1 through March 31, 201</w:t>
                          </w:r>
                          <w:r w:rsidR="00CD3F3C">
                            <w:rPr>
                              <w:rFonts w:ascii="Arial" w:hAnsi="Arial"/>
                              <w:b/>
                              <w:color w:val="FFFFFF" w:themeColor="background1"/>
                              <w:sz w:val="20"/>
                              <w:szCs w:val="20"/>
                            </w:rPr>
                            <w:t>9</w:t>
                          </w:r>
                        </w:p>
                        <w:p w:rsidR="00584CF9" w:rsidRPr="004D11A5" w:rsidRDefault="00584CF9" w:rsidP="006C3E85">
                          <w:pPr>
                            <w:rPr>
                              <w:rFonts w:ascii="Arial" w:hAnsi="Arial"/>
                              <w:b/>
                              <w:color w:val="A7D036"/>
                              <w:sz w:val="56"/>
                              <w:szCs w:val="56"/>
                            </w:rPr>
                          </w:pPr>
                          <w:r>
                            <w:rPr>
                              <w:rFonts w:ascii="Arial" w:hAnsi="Arial"/>
                              <w:b/>
                              <w:color w:val="A7D036"/>
                              <w:sz w:val="56"/>
                              <w:szCs w:val="56"/>
                            </w:rPr>
                            <w:t>Rate &amp; Regulatory Update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E5A8C" id="_x0000_t202" coordsize="21600,21600" o:spt="202" path="m,l,21600r21600,l21600,xe">
              <v:stroke joinstyle="miter"/>
              <v:path gradientshapeok="t" o:connecttype="rect"/>
            </v:shapetype>
            <v:shape id="Text Box 5" o:spid="_x0000_s1026" type="#_x0000_t202" style="position:absolute;margin-left:-42pt;margin-top:0;width:540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" filled="f" stroked="f">
              <v:textbox>
                <w:txbxContent>
                  <w:p w:rsidR="00584CF9" w:rsidRPr="006C3E85" w:rsidRDefault="0063501E" w:rsidP="006C3E85">
                    <w:pPr>
                      <w:rPr>
                        <w:rFonts w:ascii="Arial" w:hAnsi="Arial"/>
                        <w:b/>
                        <w:color w:val="FFFFFF" w:themeColor="background1"/>
                        <w:sz w:val="20"/>
                        <w:szCs w:val="20"/>
                      </w:rPr>
                    </w:pPr>
                    <w:r>
                      <w:rPr>
                        <w:rFonts w:ascii="Arial" w:hAnsi="Arial"/>
                        <w:b/>
                        <w:color w:val="FFFFFF" w:themeColor="background1"/>
                        <w:sz w:val="20"/>
                        <w:szCs w:val="20"/>
                      </w:rPr>
                      <w:t>January 1 through March 31, 201</w:t>
                    </w:r>
                    <w:r w:rsidR="00CD3F3C">
                      <w:rPr>
                        <w:rFonts w:ascii="Arial" w:hAnsi="Arial"/>
                        <w:b/>
                        <w:color w:val="FFFFFF" w:themeColor="background1"/>
                        <w:sz w:val="20"/>
                        <w:szCs w:val="20"/>
                      </w:rPr>
                      <w:t>9</w:t>
                    </w:r>
                  </w:p>
                  <w:p w:rsidR="00584CF9" w:rsidRPr="004D11A5" w:rsidRDefault="00584CF9" w:rsidP="006C3E85">
                    <w:pPr>
                      <w:rPr>
                        <w:rFonts w:ascii="Arial" w:hAnsi="Arial"/>
                        <w:b/>
                        <w:color w:val="A7D036"/>
                        <w:sz w:val="56"/>
                        <w:szCs w:val="56"/>
                      </w:rPr>
                    </w:pPr>
                    <w:r>
                      <w:rPr>
                        <w:rFonts w:ascii="Arial" w:hAnsi="Arial"/>
                        <w:b/>
                        <w:color w:val="A7D036"/>
                        <w:sz w:val="56"/>
                        <w:szCs w:val="56"/>
                      </w:rPr>
                      <w:t>Rate &amp; Regulatory Update</w:t>
                    </w:r>
                  </w:p>
                </w:txbxContent>
              </v:textbox>
            </v:shape>
          </w:pict>
        </mc:Fallback>
      </mc:AlternateContent>
    </w:r>
    <w:r w:rsidRPr="00DE7014">
      <w:rPr>
        <w:rFonts w:ascii="Calibri" w:eastAsia="Times New Roman" w:hAnsi="Calibri" w:cs="Times New Roman" w:hint="eastAsia"/>
        <w:noProof/>
        <w:szCs w:val="24"/>
      </w:rPr>
      <w:drawing>
        <wp:anchor distT="0" distB="0" distL="114300" distR="114300" simplePos="0" relativeHeight="251659264" behindDoc="0" locked="0" layoutInCell="1" allowOverlap="1" wp14:anchorId="7A8D632F" wp14:editId="3ADE613E">
          <wp:simplePos x="0" y="0"/>
          <wp:positionH relativeFrom="page">
            <wp:align>right</wp:align>
          </wp:positionH>
          <wp:positionV relativeFrom="page">
            <wp:align>top</wp:align>
          </wp:positionV>
          <wp:extent cx="7771130" cy="1536700"/>
          <wp:effectExtent l="0" t="0" r="127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 E Header Art.jpg"/>
                  <pic:cNvPicPr/>
                </pic:nvPicPr>
                <pic:blipFill rotWithShape="1">
                  <a:blip r:embed="rId1" cstate="print">
                    <a:extLst>
                      <a:ext uri="{28A0092B-C50C-407E-A947-70E740481C1C}">
                        <a14:useLocalDpi xmlns:a14="http://schemas.microsoft.com/office/drawing/2010/main" val="0"/>
                      </a:ext>
                    </a:extLst>
                  </a:blip>
                  <a:srcRect b="36815"/>
                  <a:stretch/>
                </pic:blipFill>
                <pic:spPr bwMode="auto">
                  <a:xfrm>
                    <a:off x="0" y="0"/>
                    <a:ext cx="7771130" cy="1536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78D"/>
    <w:multiLevelType w:val="hybridMultilevel"/>
    <w:tmpl w:val="3C54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96AA0"/>
    <w:multiLevelType w:val="hybridMultilevel"/>
    <w:tmpl w:val="7080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13F"/>
    <w:multiLevelType w:val="hybridMultilevel"/>
    <w:tmpl w:val="36C0E3A6"/>
    <w:lvl w:ilvl="0" w:tplc="5470E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62FA7"/>
    <w:multiLevelType w:val="hybridMultilevel"/>
    <w:tmpl w:val="64BC2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95A1A"/>
    <w:multiLevelType w:val="hybridMultilevel"/>
    <w:tmpl w:val="EC30B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A33D1"/>
    <w:multiLevelType w:val="hybridMultilevel"/>
    <w:tmpl w:val="A6966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61198"/>
    <w:multiLevelType w:val="hybridMultilevel"/>
    <w:tmpl w:val="5A5C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9384B"/>
    <w:multiLevelType w:val="hybridMultilevel"/>
    <w:tmpl w:val="E0E8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A57C6"/>
    <w:multiLevelType w:val="hybridMultilevel"/>
    <w:tmpl w:val="6BB6B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31F86"/>
    <w:multiLevelType w:val="hybridMultilevel"/>
    <w:tmpl w:val="AF68B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4C6FBB"/>
    <w:multiLevelType w:val="hybridMultilevel"/>
    <w:tmpl w:val="2EA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1B61"/>
    <w:multiLevelType w:val="hybridMultilevel"/>
    <w:tmpl w:val="0DCE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D3588"/>
    <w:multiLevelType w:val="hybridMultilevel"/>
    <w:tmpl w:val="CE16C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CC2F47"/>
    <w:multiLevelType w:val="hybridMultilevel"/>
    <w:tmpl w:val="F0C2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844DD"/>
    <w:multiLevelType w:val="hybridMultilevel"/>
    <w:tmpl w:val="0B9E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340724"/>
    <w:multiLevelType w:val="hybridMultilevel"/>
    <w:tmpl w:val="38D21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CA6254"/>
    <w:multiLevelType w:val="hybridMultilevel"/>
    <w:tmpl w:val="F296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B66DF"/>
    <w:multiLevelType w:val="hybridMultilevel"/>
    <w:tmpl w:val="51884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D73B5"/>
    <w:multiLevelType w:val="hybridMultilevel"/>
    <w:tmpl w:val="849A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073F7"/>
    <w:multiLevelType w:val="hybridMultilevel"/>
    <w:tmpl w:val="40E4B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8"/>
  </w:num>
  <w:num w:numId="5">
    <w:abstractNumId w:val="15"/>
  </w:num>
  <w:num w:numId="6">
    <w:abstractNumId w:val="4"/>
  </w:num>
  <w:num w:numId="7">
    <w:abstractNumId w:val="14"/>
  </w:num>
  <w:num w:numId="8">
    <w:abstractNumId w:val="0"/>
  </w:num>
  <w:num w:numId="9">
    <w:abstractNumId w:val="9"/>
  </w:num>
  <w:num w:numId="10">
    <w:abstractNumId w:val="17"/>
  </w:num>
  <w:num w:numId="11">
    <w:abstractNumId w:val="6"/>
  </w:num>
  <w:num w:numId="12">
    <w:abstractNumId w:val="19"/>
  </w:num>
  <w:num w:numId="13">
    <w:abstractNumId w:val="2"/>
  </w:num>
  <w:num w:numId="14">
    <w:abstractNumId w:val="10"/>
  </w:num>
  <w:num w:numId="15">
    <w:abstractNumId w:val="13"/>
  </w:num>
  <w:num w:numId="16">
    <w:abstractNumId w:val="16"/>
  </w:num>
  <w:num w:numId="17">
    <w:abstractNumId w:val="1"/>
  </w:num>
  <w:num w:numId="18">
    <w:abstractNumId w:val="11"/>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E26"/>
    <w:rsid w:val="0000016B"/>
    <w:rsid w:val="0000069D"/>
    <w:rsid w:val="00000717"/>
    <w:rsid w:val="00003004"/>
    <w:rsid w:val="000042AD"/>
    <w:rsid w:val="00005816"/>
    <w:rsid w:val="000064CB"/>
    <w:rsid w:val="00007856"/>
    <w:rsid w:val="00012F7E"/>
    <w:rsid w:val="00015130"/>
    <w:rsid w:val="0001526D"/>
    <w:rsid w:val="00015860"/>
    <w:rsid w:val="00015C47"/>
    <w:rsid w:val="00016F42"/>
    <w:rsid w:val="000171AA"/>
    <w:rsid w:val="00017ABD"/>
    <w:rsid w:val="00017AEE"/>
    <w:rsid w:val="00017DBA"/>
    <w:rsid w:val="0002025B"/>
    <w:rsid w:val="00021C00"/>
    <w:rsid w:val="000229CD"/>
    <w:rsid w:val="0002613F"/>
    <w:rsid w:val="00026D35"/>
    <w:rsid w:val="00026DF4"/>
    <w:rsid w:val="00026F05"/>
    <w:rsid w:val="00026FE2"/>
    <w:rsid w:val="00031A98"/>
    <w:rsid w:val="00032FB5"/>
    <w:rsid w:val="00033B34"/>
    <w:rsid w:val="00033C66"/>
    <w:rsid w:val="00034F1B"/>
    <w:rsid w:val="000356D2"/>
    <w:rsid w:val="000377CE"/>
    <w:rsid w:val="00041FBC"/>
    <w:rsid w:val="0004230B"/>
    <w:rsid w:val="00044561"/>
    <w:rsid w:val="00044D74"/>
    <w:rsid w:val="0004674C"/>
    <w:rsid w:val="00050DF9"/>
    <w:rsid w:val="0005176A"/>
    <w:rsid w:val="0005197B"/>
    <w:rsid w:val="00055B13"/>
    <w:rsid w:val="000602A6"/>
    <w:rsid w:val="00066A25"/>
    <w:rsid w:val="00066CAD"/>
    <w:rsid w:val="000674C4"/>
    <w:rsid w:val="000675B9"/>
    <w:rsid w:val="00067D07"/>
    <w:rsid w:val="0007184F"/>
    <w:rsid w:val="00071E9F"/>
    <w:rsid w:val="00072598"/>
    <w:rsid w:val="00073194"/>
    <w:rsid w:val="00073E8E"/>
    <w:rsid w:val="00074D2B"/>
    <w:rsid w:val="00077223"/>
    <w:rsid w:val="00077563"/>
    <w:rsid w:val="00081D8F"/>
    <w:rsid w:val="0008299A"/>
    <w:rsid w:val="000856C3"/>
    <w:rsid w:val="000863E3"/>
    <w:rsid w:val="0008690E"/>
    <w:rsid w:val="000902D3"/>
    <w:rsid w:val="00093D5E"/>
    <w:rsid w:val="00093E39"/>
    <w:rsid w:val="00094788"/>
    <w:rsid w:val="00096A19"/>
    <w:rsid w:val="00096B19"/>
    <w:rsid w:val="00096DC6"/>
    <w:rsid w:val="000A0FA6"/>
    <w:rsid w:val="000A45D8"/>
    <w:rsid w:val="000A5AE3"/>
    <w:rsid w:val="000A61AA"/>
    <w:rsid w:val="000A64B4"/>
    <w:rsid w:val="000A662C"/>
    <w:rsid w:val="000A69D1"/>
    <w:rsid w:val="000B148C"/>
    <w:rsid w:val="000B1DDD"/>
    <w:rsid w:val="000B2FD0"/>
    <w:rsid w:val="000B4696"/>
    <w:rsid w:val="000B7754"/>
    <w:rsid w:val="000C04F6"/>
    <w:rsid w:val="000C1B88"/>
    <w:rsid w:val="000C4C4C"/>
    <w:rsid w:val="000C5A0C"/>
    <w:rsid w:val="000C5B01"/>
    <w:rsid w:val="000C6D2B"/>
    <w:rsid w:val="000C70F8"/>
    <w:rsid w:val="000D0064"/>
    <w:rsid w:val="000D0323"/>
    <w:rsid w:val="000D1256"/>
    <w:rsid w:val="000D27A9"/>
    <w:rsid w:val="000D5A65"/>
    <w:rsid w:val="000E0561"/>
    <w:rsid w:val="000E0C15"/>
    <w:rsid w:val="000E37C9"/>
    <w:rsid w:val="000E3F12"/>
    <w:rsid w:val="000E4F5C"/>
    <w:rsid w:val="000E533E"/>
    <w:rsid w:val="000E5705"/>
    <w:rsid w:val="000E667C"/>
    <w:rsid w:val="000F0E57"/>
    <w:rsid w:val="000F37F7"/>
    <w:rsid w:val="000F39C8"/>
    <w:rsid w:val="000F4F34"/>
    <w:rsid w:val="000F6527"/>
    <w:rsid w:val="000F6948"/>
    <w:rsid w:val="000F695E"/>
    <w:rsid w:val="000F6D29"/>
    <w:rsid w:val="000F6EA9"/>
    <w:rsid w:val="000F769A"/>
    <w:rsid w:val="001006B7"/>
    <w:rsid w:val="00102AC2"/>
    <w:rsid w:val="001038A2"/>
    <w:rsid w:val="0010692B"/>
    <w:rsid w:val="00106FA5"/>
    <w:rsid w:val="00110C84"/>
    <w:rsid w:val="00111497"/>
    <w:rsid w:val="00111565"/>
    <w:rsid w:val="00111BCA"/>
    <w:rsid w:val="00113F5D"/>
    <w:rsid w:val="00114DE2"/>
    <w:rsid w:val="00115F59"/>
    <w:rsid w:val="00117B42"/>
    <w:rsid w:val="00117D4F"/>
    <w:rsid w:val="00120521"/>
    <w:rsid w:val="00120FA9"/>
    <w:rsid w:val="00122E79"/>
    <w:rsid w:val="0012304D"/>
    <w:rsid w:val="00123801"/>
    <w:rsid w:val="001242A8"/>
    <w:rsid w:val="001248C9"/>
    <w:rsid w:val="00125AE9"/>
    <w:rsid w:val="00125BA0"/>
    <w:rsid w:val="0012674F"/>
    <w:rsid w:val="00127CCF"/>
    <w:rsid w:val="00130488"/>
    <w:rsid w:val="00130BC0"/>
    <w:rsid w:val="001312F4"/>
    <w:rsid w:val="00133ECD"/>
    <w:rsid w:val="00135DD0"/>
    <w:rsid w:val="00142B10"/>
    <w:rsid w:val="00142C39"/>
    <w:rsid w:val="001470F3"/>
    <w:rsid w:val="00151395"/>
    <w:rsid w:val="00151624"/>
    <w:rsid w:val="00151A37"/>
    <w:rsid w:val="00151CCC"/>
    <w:rsid w:val="00155A1B"/>
    <w:rsid w:val="0015666B"/>
    <w:rsid w:val="00161425"/>
    <w:rsid w:val="001625A7"/>
    <w:rsid w:val="0016358C"/>
    <w:rsid w:val="001640E3"/>
    <w:rsid w:val="00164F18"/>
    <w:rsid w:val="00166CC2"/>
    <w:rsid w:val="001671AB"/>
    <w:rsid w:val="00167CE2"/>
    <w:rsid w:val="001722BF"/>
    <w:rsid w:val="001729FB"/>
    <w:rsid w:val="00174188"/>
    <w:rsid w:val="00174FBE"/>
    <w:rsid w:val="0017589F"/>
    <w:rsid w:val="001759B7"/>
    <w:rsid w:val="001762A3"/>
    <w:rsid w:val="00177CBF"/>
    <w:rsid w:val="001809F8"/>
    <w:rsid w:val="00180E78"/>
    <w:rsid w:val="001813F3"/>
    <w:rsid w:val="00183DBB"/>
    <w:rsid w:val="001841F9"/>
    <w:rsid w:val="00184B7C"/>
    <w:rsid w:val="001921B6"/>
    <w:rsid w:val="00196D00"/>
    <w:rsid w:val="001A0155"/>
    <w:rsid w:val="001A0774"/>
    <w:rsid w:val="001A15E9"/>
    <w:rsid w:val="001A2013"/>
    <w:rsid w:val="001A22FE"/>
    <w:rsid w:val="001A460E"/>
    <w:rsid w:val="001B0330"/>
    <w:rsid w:val="001B03FD"/>
    <w:rsid w:val="001B1F30"/>
    <w:rsid w:val="001B56D0"/>
    <w:rsid w:val="001B5775"/>
    <w:rsid w:val="001C0673"/>
    <w:rsid w:val="001C1C21"/>
    <w:rsid w:val="001C536A"/>
    <w:rsid w:val="001C6A4D"/>
    <w:rsid w:val="001C7878"/>
    <w:rsid w:val="001D1C5E"/>
    <w:rsid w:val="001D2F3B"/>
    <w:rsid w:val="001D538C"/>
    <w:rsid w:val="001D5A9D"/>
    <w:rsid w:val="001D67BB"/>
    <w:rsid w:val="001D7178"/>
    <w:rsid w:val="001D7BC4"/>
    <w:rsid w:val="001E0486"/>
    <w:rsid w:val="001E3FF0"/>
    <w:rsid w:val="001E48AC"/>
    <w:rsid w:val="001E55EF"/>
    <w:rsid w:val="001E6CD9"/>
    <w:rsid w:val="001E6FB5"/>
    <w:rsid w:val="001F0DF2"/>
    <w:rsid w:val="001F3022"/>
    <w:rsid w:val="001F3588"/>
    <w:rsid w:val="001F3A23"/>
    <w:rsid w:val="001F5597"/>
    <w:rsid w:val="001F5E4A"/>
    <w:rsid w:val="001F5E59"/>
    <w:rsid w:val="001F757D"/>
    <w:rsid w:val="00201F4B"/>
    <w:rsid w:val="00202021"/>
    <w:rsid w:val="00202980"/>
    <w:rsid w:val="0020524F"/>
    <w:rsid w:val="0020767D"/>
    <w:rsid w:val="002112EC"/>
    <w:rsid w:val="00211CC1"/>
    <w:rsid w:val="002159D0"/>
    <w:rsid w:val="00216501"/>
    <w:rsid w:val="002224A3"/>
    <w:rsid w:val="00222C53"/>
    <w:rsid w:val="0022311B"/>
    <w:rsid w:val="0022457A"/>
    <w:rsid w:val="00224C4B"/>
    <w:rsid w:val="0022628B"/>
    <w:rsid w:val="00227288"/>
    <w:rsid w:val="00231330"/>
    <w:rsid w:val="002317FF"/>
    <w:rsid w:val="00231F4A"/>
    <w:rsid w:val="00234A15"/>
    <w:rsid w:val="00235C5F"/>
    <w:rsid w:val="002375EB"/>
    <w:rsid w:val="00237D37"/>
    <w:rsid w:val="002434B9"/>
    <w:rsid w:val="0024712B"/>
    <w:rsid w:val="0024763A"/>
    <w:rsid w:val="00250703"/>
    <w:rsid w:val="002509AE"/>
    <w:rsid w:val="00251C40"/>
    <w:rsid w:val="002524FF"/>
    <w:rsid w:val="00253542"/>
    <w:rsid w:val="002552DD"/>
    <w:rsid w:val="00260E27"/>
    <w:rsid w:val="00261139"/>
    <w:rsid w:val="0026201B"/>
    <w:rsid w:val="002628A6"/>
    <w:rsid w:val="00262EA6"/>
    <w:rsid w:val="00262F0C"/>
    <w:rsid w:val="00263E51"/>
    <w:rsid w:val="002640CD"/>
    <w:rsid w:val="002652E0"/>
    <w:rsid w:val="00265947"/>
    <w:rsid w:val="00267AC1"/>
    <w:rsid w:val="00271CDA"/>
    <w:rsid w:val="002727D5"/>
    <w:rsid w:val="00275B3D"/>
    <w:rsid w:val="00275C35"/>
    <w:rsid w:val="002773F4"/>
    <w:rsid w:val="00283CAD"/>
    <w:rsid w:val="002863E3"/>
    <w:rsid w:val="002877B7"/>
    <w:rsid w:val="00287D93"/>
    <w:rsid w:val="0029041E"/>
    <w:rsid w:val="0029064B"/>
    <w:rsid w:val="002920B0"/>
    <w:rsid w:val="00292C33"/>
    <w:rsid w:val="00292D5A"/>
    <w:rsid w:val="002936B3"/>
    <w:rsid w:val="00294C69"/>
    <w:rsid w:val="00295FE1"/>
    <w:rsid w:val="002970CA"/>
    <w:rsid w:val="002A0039"/>
    <w:rsid w:val="002A0716"/>
    <w:rsid w:val="002A1A53"/>
    <w:rsid w:val="002A1C65"/>
    <w:rsid w:val="002A2773"/>
    <w:rsid w:val="002A4847"/>
    <w:rsid w:val="002B0F23"/>
    <w:rsid w:val="002B1781"/>
    <w:rsid w:val="002B206B"/>
    <w:rsid w:val="002B3649"/>
    <w:rsid w:val="002B4DA3"/>
    <w:rsid w:val="002B5C2C"/>
    <w:rsid w:val="002B63B9"/>
    <w:rsid w:val="002B6AC3"/>
    <w:rsid w:val="002B7AE6"/>
    <w:rsid w:val="002C007A"/>
    <w:rsid w:val="002C41A8"/>
    <w:rsid w:val="002C4502"/>
    <w:rsid w:val="002C544E"/>
    <w:rsid w:val="002C670A"/>
    <w:rsid w:val="002C6A83"/>
    <w:rsid w:val="002C7C26"/>
    <w:rsid w:val="002D4719"/>
    <w:rsid w:val="002D5DD3"/>
    <w:rsid w:val="002D6763"/>
    <w:rsid w:val="002D6B18"/>
    <w:rsid w:val="002E24BE"/>
    <w:rsid w:val="002E30B9"/>
    <w:rsid w:val="002E4A5C"/>
    <w:rsid w:val="002E4DCC"/>
    <w:rsid w:val="002E5982"/>
    <w:rsid w:val="002E72BF"/>
    <w:rsid w:val="002E7796"/>
    <w:rsid w:val="002F1215"/>
    <w:rsid w:val="002F68F9"/>
    <w:rsid w:val="002F74D0"/>
    <w:rsid w:val="00300500"/>
    <w:rsid w:val="00302B49"/>
    <w:rsid w:val="00302EA4"/>
    <w:rsid w:val="003032C7"/>
    <w:rsid w:val="00303F6A"/>
    <w:rsid w:val="0030668B"/>
    <w:rsid w:val="00306EF7"/>
    <w:rsid w:val="00307441"/>
    <w:rsid w:val="00307B41"/>
    <w:rsid w:val="003108B0"/>
    <w:rsid w:val="003128DC"/>
    <w:rsid w:val="00312A88"/>
    <w:rsid w:val="00314BD3"/>
    <w:rsid w:val="0031564C"/>
    <w:rsid w:val="003178A0"/>
    <w:rsid w:val="003214B8"/>
    <w:rsid w:val="003242BD"/>
    <w:rsid w:val="0032574D"/>
    <w:rsid w:val="00326CDB"/>
    <w:rsid w:val="003271AD"/>
    <w:rsid w:val="003307F2"/>
    <w:rsid w:val="0033279C"/>
    <w:rsid w:val="00332C1D"/>
    <w:rsid w:val="00335320"/>
    <w:rsid w:val="00337A99"/>
    <w:rsid w:val="00341FAD"/>
    <w:rsid w:val="0034313E"/>
    <w:rsid w:val="003438F1"/>
    <w:rsid w:val="00344435"/>
    <w:rsid w:val="00346CAB"/>
    <w:rsid w:val="0034706E"/>
    <w:rsid w:val="003477D8"/>
    <w:rsid w:val="0035070B"/>
    <w:rsid w:val="003514DE"/>
    <w:rsid w:val="003563AD"/>
    <w:rsid w:val="0035769E"/>
    <w:rsid w:val="00357BA2"/>
    <w:rsid w:val="00360016"/>
    <w:rsid w:val="0036092D"/>
    <w:rsid w:val="003632FA"/>
    <w:rsid w:val="00364C77"/>
    <w:rsid w:val="00372587"/>
    <w:rsid w:val="00376064"/>
    <w:rsid w:val="00380674"/>
    <w:rsid w:val="00381019"/>
    <w:rsid w:val="0038162A"/>
    <w:rsid w:val="00381661"/>
    <w:rsid w:val="003818D8"/>
    <w:rsid w:val="00382613"/>
    <w:rsid w:val="003841AD"/>
    <w:rsid w:val="00384D29"/>
    <w:rsid w:val="00385421"/>
    <w:rsid w:val="0038747D"/>
    <w:rsid w:val="0039192A"/>
    <w:rsid w:val="00391A7A"/>
    <w:rsid w:val="00392044"/>
    <w:rsid w:val="0039207F"/>
    <w:rsid w:val="00395B7E"/>
    <w:rsid w:val="003962B9"/>
    <w:rsid w:val="003970EE"/>
    <w:rsid w:val="003A0B49"/>
    <w:rsid w:val="003A1E1B"/>
    <w:rsid w:val="003A29D7"/>
    <w:rsid w:val="003A7771"/>
    <w:rsid w:val="003B114D"/>
    <w:rsid w:val="003B3940"/>
    <w:rsid w:val="003B4002"/>
    <w:rsid w:val="003B4F7B"/>
    <w:rsid w:val="003B653F"/>
    <w:rsid w:val="003B7EC8"/>
    <w:rsid w:val="003C079C"/>
    <w:rsid w:val="003C08B0"/>
    <w:rsid w:val="003C0C15"/>
    <w:rsid w:val="003C1EA7"/>
    <w:rsid w:val="003C3975"/>
    <w:rsid w:val="003C3B2F"/>
    <w:rsid w:val="003C3BC5"/>
    <w:rsid w:val="003C43C8"/>
    <w:rsid w:val="003C6AD3"/>
    <w:rsid w:val="003D231E"/>
    <w:rsid w:val="003D425C"/>
    <w:rsid w:val="003D458D"/>
    <w:rsid w:val="003E0A98"/>
    <w:rsid w:val="003E6012"/>
    <w:rsid w:val="003E654F"/>
    <w:rsid w:val="003F15B3"/>
    <w:rsid w:val="003F1C66"/>
    <w:rsid w:val="003F2A5E"/>
    <w:rsid w:val="003F40CF"/>
    <w:rsid w:val="003F7DA5"/>
    <w:rsid w:val="003F7F7D"/>
    <w:rsid w:val="004005F1"/>
    <w:rsid w:val="00400E4C"/>
    <w:rsid w:val="004014FA"/>
    <w:rsid w:val="00404E77"/>
    <w:rsid w:val="004065D9"/>
    <w:rsid w:val="004104B4"/>
    <w:rsid w:val="00410D44"/>
    <w:rsid w:val="00413A49"/>
    <w:rsid w:val="00416BC2"/>
    <w:rsid w:val="00417182"/>
    <w:rsid w:val="00417877"/>
    <w:rsid w:val="004204B6"/>
    <w:rsid w:val="0042062F"/>
    <w:rsid w:val="004233C3"/>
    <w:rsid w:val="00424E5D"/>
    <w:rsid w:val="00425748"/>
    <w:rsid w:val="00425F53"/>
    <w:rsid w:val="004262A4"/>
    <w:rsid w:val="00426DBE"/>
    <w:rsid w:val="00432213"/>
    <w:rsid w:val="00433C6D"/>
    <w:rsid w:val="00434060"/>
    <w:rsid w:val="00434D57"/>
    <w:rsid w:val="00436B44"/>
    <w:rsid w:val="00437552"/>
    <w:rsid w:val="00437833"/>
    <w:rsid w:val="00441218"/>
    <w:rsid w:val="004422BE"/>
    <w:rsid w:val="00442D21"/>
    <w:rsid w:val="00442ECA"/>
    <w:rsid w:val="00444648"/>
    <w:rsid w:val="00445633"/>
    <w:rsid w:val="00446AA5"/>
    <w:rsid w:val="00446F1C"/>
    <w:rsid w:val="0044732D"/>
    <w:rsid w:val="004474D7"/>
    <w:rsid w:val="004509D9"/>
    <w:rsid w:val="004513B6"/>
    <w:rsid w:val="0045161B"/>
    <w:rsid w:val="0045220A"/>
    <w:rsid w:val="00452307"/>
    <w:rsid w:val="00452F3F"/>
    <w:rsid w:val="00453A5B"/>
    <w:rsid w:val="00453D76"/>
    <w:rsid w:val="00455831"/>
    <w:rsid w:val="00456231"/>
    <w:rsid w:val="004568F5"/>
    <w:rsid w:val="004601DC"/>
    <w:rsid w:val="00461FE5"/>
    <w:rsid w:val="004660A4"/>
    <w:rsid w:val="0047025F"/>
    <w:rsid w:val="0047270A"/>
    <w:rsid w:val="00473B46"/>
    <w:rsid w:val="00481A97"/>
    <w:rsid w:val="00483FBC"/>
    <w:rsid w:val="004850F8"/>
    <w:rsid w:val="004856D3"/>
    <w:rsid w:val="0048578D"/>
    <w:rsid w:val="004859FA"/>
    <w:rsid w:val="00490509"/>
    <w:rsid w:val="0049182D"/>
    <w:rsid w:val="00491B63"/>
    <w:rsid w:val="00493462"/>
    <w:rsid w:val="004939AA"/>
    <w:rsid w:val="00495FF0"/>
    <w:rsid w:val="00496168"/>
    <w:rsid w:val="0049667E"/>
    <w:rsid w:val="00496F46"/>
    <w:rsid w:val="004A1A82"/>
    <w:rsid w:val="004A1B32"/>
    <w:rsid w:val="004A4C05"/>
    <w:rsid w:val="004A577F"/>
    <w:rsid w:val="004A5DD1"/>
    <w:rsid w:val="004B147B"/>
    <w:rsid w:val="004B2835"/>
    <w:rsid w:val="004B4606"/>
    <w:rsid w:val="004B4858"/>
    <w:rsid w:val="004B5272"/>
    <w:rsid w:val="004B6D46"/>
    <w:rsid w:val="004B7B98"/>
    <w:rsid w:val="004C1106"/>
    <w:rsid w:val="004C2893"/>
    <w:rsid w:val="004C5841"/>
    <w:rsid w:val="004C5EC0"/>
    <w:rsid w:val="004C6F72"/>
    <w:rsid w:val="004C784A"/>
    <w:rsid w:val="004C7A4A"/>
    <w:rsid w:val="004D07E3"/>
    <w:rsid w:val="004D095B"/>
    <w:rsid w:val="004D248F"/>
    <w:rsid w:val="004D41B6"/>
    <w:rsid w:val="004D6927"/>
    <w:rsid w:val="004D6C5C"/>
    <w:rsid w:val="004E0147"/>
    <w:rsid w:val="004E0D64"/>
    <w:rsid w:val="004E5D4D"/>
    <w:rsid w:val="004E6703"/>
    <w:rsid w:val="004E73AC"/>
    <w:rsid w:val="004E793E"/>
    <w:rsid w:val="004E7E61"/>
    <w:rsid w:val="004E7F26"/>
    <w:rsid w:val="004F0711"/>
    <w:rsid w:val="004F1AE5"/>
    <w:rsid w:val="004F378B"/>
    <w:rsid w:val="004F3F45"/>
    <w:rsid w:val="004F521A"/>
    <w:rsid w:val="005007FA"/>
    <w:rsid w:val="005031E5"/>
    <w:rsid w:val="00505E6E"/>
    <w:rsid w:val="0050661F"/>
    <w:rsid w:val="00506A73"/>
    <w:rsid w:val="00506EA4"/>
    <w:rsid w:val="005071E3"/>
    <w:rsid w:val="00511730"/>
    <w:rsid w:val="00513417"/>
    <w:rsid w:val="00515C3D"/>
    <w:rsid w:val="0051781D"/>
    <w:rsid w:val="00521A70"/>
    <w:rsid w:val="0052272E"/>
    <w:rsid w:val="005241B2"/>
    <w:rsid w:val="00525F89"/>
    <w:rsid w:val="00526261"/>
    <w:rsid w:val="00533B23"/>
    <w:rsid w:val="005348EC"/>
    <w:rsid w:val="005364C2"/>
    <w:rsid w:val="00536751"/>
    <w:rsid w:val="005416AD"/>
    <w:rsid w:val="00541BB4"/>
    <w:rsid w:val="0054288D"/>
    <w:rsid w:val="00542A9D"/>
    <w:rsid w:val="0054721E"/>
    <w:rsid w:val="005507B1"/>
    <w:rsid w:val="00550C48"/>
    <w:rsid w:val="005516A2"/>
    <w:rsid w:val="00551878"/>
    <w:rsid w:val="00551F51"/>
    <w:rsid w:val="00556764"/>
    <w:rsid w:val="0055711A"/>
    <w:rsid w:val="005575E7"/>
    <w:rsid w:val="00557719"/>
    <w:rsid w:val="00562CB2"/>
    <w:rsid w:val="00567648"/>
    <w:rsid w:val="00570B10"/>
    <w:rsid w:val="00570B89"/>
    <w:rsid w:val="005714C9"/>
    <w:rsid w:val="0057313D"/>
    <w:rsid w:val="00581CB0"/>
    <w:rsid w:val="00582BA3"/>
    <w:rsid w:val="00582F97"/>
    <w:rsid w:val="005834EF"/>
    <w:rsid w:val="00583681"/>
    <w:rsid w:val="00583C36"/>
    <w:rsid w:val="005845E1"/>
    <w:rsid w:val="00584CF9"/>
    <w:rsid w:val="005860F8"/>
    <w:rsid w:val="005864D0"/>
    <w:rsid w:val="00591F0E"/>
    <w:rsid w:val="005936D6"/>
    <w:rsid w:val="005938F5"/>
    <w:rsid w:val="00593EE7"/>
    <w:rsid w:val="0059496F"/>
    <w:rsid w:val="00595C94"/>
    <w:rsid w:val="00597989"/>
    <w:rsid w:val="005A001E"/>
    <w:rsid w:val="005A13B8"/>
    <w:rsid w:val="005A1819"/>
    <w:rsid w:val="005A189C"/>
    <w:rsid w:val="005A20D4"/>
    <w:rsid w:val="005A2F42"/>
    <w:rsid w:val="005A369D"/>
    <w:rsid w:val="005A5BEE"/>
    <w:rsid w:val="005A64B3"/>
    <w:rsid w:val="005A7012"/>
    <w:rsid w:val="005A7A1B"/>
    <w:rsid w:val="005B0C20"/>
    <w:rsid w:val="005B19A6"/>
    <w:rsid w:val="005B1AFF"/>
    <w:rsid w:val="005B1EEF"/>
    <w:rsid w:val="005B2D47"/>
    <w:rsid w:val="005B387C"/>
    <w:rsid w:val="005B426C"/>
    <w:rsid w:val="005B580B"/>
    <w:rsid w:val="005B6835"/>
    <w:rsid w:val="005B6A3F"/>
    <w:rsid w:val="005B6C4A"/>
    <w:rsid w:val="005B7252"/>
    <w:rsid w:val="005C0D80"/>
    <w:rsid w:val="005C44D6"/>
    <w:rsid w:val="005C46AD"/>
    <w:rsid w:val="005C4C48"/>
    <w:rsid w:val="005C5B1A"/>
    <w:rsid w:val="005C5F70"/>
    <w:rsid w:val="005C6EE4"/>
    <w:rsid w:val="005D095C"/>
    <w:rsid w:val="005D1FC8"/>
    <w:rsid w:val="005D2082"/>
    <w:rsid w:val="005D35AF"/>
    <w:rsid w:val="005D37F0"/>
    <w:rsid w:val="005D5FD6"/>
    <w:rsid w:val="005D76A5"/>
    <w:rsid w:val="005D7F5D"/>
    <w:rsid w:val="005E0835"/>
    <w:rsid w:val="005E2C74"/>
    <w:rsid w:val="005E2EDB"/>
    <w:rsid w:val="005E4D0F"/>
    <w:rsid w:val="005E4E3D"/>
    <w:rsid w:val="005E54A3"/>
    <w:rsid w:val="005E5DDE"/>
    <w:rsid w:val="005F1B31"/>
    <w:rsid w:val="005F243C"/>
    <w:rsid w:val="005F39C2"/>
    <w:rsid w:val="005F3DEB"/>
    <w:rsid w:val="005F40B7"/>
    <w:rsid w:val="005F7E63"/>
    <w:rsid w:val="006023F9"/>
    <w:rsid w:val="006048FC"/>
    <w:rsid w:val="00604D1B"/>
    <w:rsid w:val="00607467"/>
    <w:rsid w:val="00607D28"/>
    <w:rsid w:val="00610E8C"/>
    <w:rsid w:val="0061237E"/>
    <w:rsid w:val="006123A4"/>
    <w:rsid w:val="00613A6B"/>
    <w:rsid w:val="00613EE2"/>
    <w:rsid w:val="00614BEA"/>
    <w:rsid w:val="00614EAA"/>
    <w:rsid w:val="00614F55"/>
    <w:rsid w:val="00617D60"/>
    <w:rsid w:val="00621414"/>
    <w:rsid w:val="00621738"/>
    <w:rsid w:val="00622356"/>
    <w:rsid w:val="00622C46"/>
    <w:rsid w:val="00623688"/>
    <w:rsid w:val="00623F96"/>
    <w:rsid w:val="00624120"/>
    <w:rsid w:val="006244ED"/>
    <w:rsid w:val="00627EB0"/>
    <w:rsid w:val="00630785"/>
    <w:rsid w:val="00631B08"/>
    <w:rsid w:val="0063221B"/>
    <w:rsid w:val="00633CBF"/>
    <w:rsid w:val="00634DC8"/>
    <w:rsid w:val="0063501E"/>
    <w:rsid w:val="00636350"/>
    <w:rsid w:val="00636759"/>
    <w:rsid w:val="006369D6"/>
    <w:rsid w:val="00636F99"/>
    <w:rsid w:val="0063731B"/>
    <w:rsid w:val="00640CD6"/>
    <w:rsid w:val="006413D8"/>
    <w:rsid w:val="00642745"/>
    <w:rsid w:val="00644EA0"/>
    <w:rsid w:val="00644F82"/>
    <w:rsid w:val="0064744A"/>
    <w:rsid w:val="00647A0C"/>
    <w:rsid w:val="006501D8"/>
    <w:rsid w:val="006514E3"/>
    <w:rsid w:val="00652DBD"/>
    <w:rsid w:val="006530D3"/>
    <w:rsid w:val="006531A4"/>
    <w:rsid w:val="00653FF6"/>
    <w:rsid w:val="006540A0"/>
    <w:rsid w:val="0065420D"/>
    <w:rsid w:val="00654B46"/>
    <w:rsid w:val="0065662E"/>
    <w:rsid w:val="00656E02"/>
    <w:rsid w:val="006600FD"/>
    <w:rsid w:val="00660A43"/>
    <w:rsid w:val="00660DA6"/>
    <w:rsid w:val="00662B10"/>
    <w:rsid w:val="00663C02"/>
    <w:rsid w:val="00664F8A"/>
    <w:rsid w:val="0066650B"/>
    <w:rsid w:val="00666E32"/>
    <w:rsid w:val="0067181C"/>
    <w:rsid w:val="00672476"/>
    <w:rsid w:val="00672943"/>
    <w:rsid w:val="00675897"/>
    <w:rsid w:val="00680438"/>
    <w:rsid w:val="0068244A"/>
    <w:rsid w:val="00682EF0"/>
    <w:rsid w:val="00683905"/>
    <w:rsid w:val="00683EDC"/>
    <w:rsid w:val="00684717"/>
    <w:rsid w:val="00686591"/>
    <w:rsid w:val="0068762C"/>
    <w:rsid w:val="00690614"/>
    <w:rsid w:val="00691538"/>
    <w:rsid w:val="00691911"/>
    <w:rsid w:val="00692654"/>
    <w:rsid w:val="00694009"/>
    <w:rsid w:val="006971FE"/>
    <w:rsid w:val="00697541"/>
    <w:rsid w:val="006A0AAB"/>
    <w:rsid w:val="006A0EBD"/>
    <w:rsid w:val="006A2127"/>
    <w:rsid w:val="006A307B"/>
    <w:rsid w:val="006A7365"/>
    <w:rsid w:val="006B0973"/>
    <w:rsid w:val="006B1403"/>
    <w:rsid w:val="006B3C58"/>
    <w:rsid w:val="006B3D15"/>
    <w:rsid w:val="006B3F74"/>
    <w:rsid w:val="006B4815"/>
    <w:rsid w:val="006B6F85"/>
    <w:rsid w:val="006B7C60"/>
    <w:rsid w:val="006C0361"/>
    <w:rsid w:val="006C0F04"/>
    <w:rsid w:val="006C339E"/>
    <w:rsid w:val="006C3E3F"/>
    <w:rsid w:val="006C3E85"/>
    <w:rsid w:val="006C408F"/>
    <w:rsid w:val="006C5F71"/>
    <w:rsid w:val="006C7A98"/>
    <w:rsid w:val="006D40CE"/>
    <w:rsid w:val="006D592F"/>
    <w:rsid w:val="006D686A"/>
    <w:rsid w:val="006D6C41"/>
    <w:rsid w:val="006D6E75"/>
    <w:rsid w:val="006D70AB"/>
    <w:rsid w:val="006D7EC9"/>
    <w:rsid w:val="006E0432"/>
    <w:rsid w:val="006E0746"/>
    <w:rsid w:val="006E15DE"/>
    <w:rsid w:val="006E30EB"/>
    <w:rsid w:val="006E4334"/>
    <w:rsid w:val="006E5868"/>
    <w:rsid w:val="006E656E"/>
    <w:rsid w:val="006E6E1B"/>
    <w:rsid w:val="006F1BB8"/>
    <w:rsid w:val="006F2086"/>
    <w:rsid w:val="006F213E"/>
    <w:rsid w:val="006F28B3"/>
    <w:rsid w:val="006F28DD"/>
    <w:rsid w:val="006F5A20"/>
    <w:rsid w:val="006F5EE8"/>
    <w:rsid w:val="006F7C33"/>
    <w:rsid w:val="00700A18"/>
    <w:rsid w:val="00700EF7"/>
    <w:rsid w:val="007019CE"/>
    <w:rsid w:val="00702F3C"/>
    <w:rsid w:val="007068DB"/>
    <w:rsid w:val="007079FD"/>
    <w:rsid w:val="00712677"/>
    <w:rsid w:val="00712D21"/>
    <w:rsid w:val="00713677"/>
    <w:rsid w:val="00713C42"/>
    <w:rsid w:val="00717B18"/>
    <w:rsid w:val="007200CD"/>
    <w:rsid w:val="007220F6"/>
    <w:rsid w:val="00723B06"/>
    <w:rsid w:val="00723D6A"/>
    <w:rsid w:val="00724727"/>
    <w:rsid w:val="00724A9E"/>
    <w:rsid w:val="007252BE"/>
    <w:rsid w:val="007268C3"/>
    <w:rsid w:val="00730015"/>
    <w:rsid w:val="00731218"/>
    <w:rsid w:val="007318E6"/>
    <w:rsid w:val="00732E16"/>
    <w:rsid w:val="007343A4"/>
    <w:rsid w:val="007350D3"/>
    <w:rsid w:val="00735EDC"/>
    <w:rsid w:val="0073640E"/>
    <w:rsid w:val="0073707D"/>
    <w:rsid w:val="00740B3E"/>
    <w:rsid w:val="00742C80"/>
    <w:rsid w:val="00745E43"/>
    <w:rsid w:val="007461DC"/>
    <w:rsid w:val="00746E6A"/>
    <w:rsid w:val="007474C7"/>
    <w:rsid w:val="00747F13"/>
    <w:rsid w:val="00750EE9"/>
    <w:rsid w:val="0075151A"/>
    <w:rsid w:val="00751657"/>
    <w:rsid w:val="00751C52"/>
    <w:rsid w:val="0075224B"/>
    <w:rsid w:val="00752C05"/>
    <w:rsid w:val="00754518"/>
    <w:rsid w:val="00755A57"/>
    <w:rsid w:val="007610A6"/>
    <w:rsid w:val="00761B06"/>
    <w:rsid w:val="00763D86"/>
    <w:rsid w:val="00764DB7"/>
    <w:rsid w:val="0076572F"/>
    <w:rsid w:val="00766CF8"/>
    <w:rsid w:val="007709A9"/>
    <w:rsid w:val="007712FD"/>
    <w:rsid w:val="00771FD0"/>
    <w:rsid w:val="0077213F"/>
    <w:rsid w:val="00772837"/>
    <w:rsid w:val="00772945"/>
    <w:rsid w:val="007730C9"/>
    <w:rsid w:val="00775C21"/>
    <w:rsid w:val="00775FEA"/>
    <w:rsid w:val="00781049"/>
    <w:rsid w:val="007810E8"/>
    <w:rsid w:val="0078154F"/>
    <w:rsid w:val="00783B41"/>
    <w:rsid w:val="00783E89"/>
    <w:rsid w:val="00785047"/>
    <w:rsid w:val="00786BA3"/>
    <w:rsid w:val="0078741C"/>
    <w:rsid w:val="0079000A"/>
    <w:rsid w:val="007901E8"/>
    <w:rsid w:val="007906A4"/>
    <w:rsid w:val="007909A6"/>
    <w:rsid w:val="00791E19"/>
    <w:rsid w:val="007921AF"/>
    <w:rsid w:val="0079359A"/>
    <w:rsid w:val="00794618"/>
    <w:rsid w:val="007946D4"/>
    <w:rsid w:val="007964D6"/>
    <w:rsid w:val="007A0ACF"/>
    <w:rsid w:val="007A1132"/>
    <w:rsid w:val="007A2EEF"/>
    <w:rsid w:val="007A3525"/>
    <w:rsid w:val="007A3776"/>
    <w:rsid w:val="007A40D0"/>
    <w:rsid w:val="007A6101"/>
    <w:rsid w:val="007A6183"/>
    <w:rsid w:val="007A6915"/>
    <w:rsid w:val="007B014F"/>
    <w:rsid w:val="007B059B"/>
    <w:rsid w:val="007B1266"/>
    <w:rsid w:val="007B2B18"/>
    <w:rsid w:val="007B346A"/>
    <w:rsid w:val="007B35EE"/>
    <w:rsid w:val="007B444B"/>
    <w:rsid w:val="007B6F66"/>
    <w:rsid w:val="007C0021"/>
    <w:rsid w:val="007C01D9"/>
    <w:rsid w:val="007C37B6"/>
    <w:rsid w:val="007C7A28"/>
    <w:rsid w:val="007D1745"/>
    <w:rsid w:val="007D64A4"/>
    <w:rsid w:val="007D71A0"/>
    <w:rsid w:val="007D758A"/>
    <w:rsid w:val="007E06BA"/>
    <w:rsid w:val="007E0EB0"/>
    <w:rsid w:val="007E1100"/>
    <w:rsid w:val="007E1AFB"/>
    <w:rsid w:val="007E34A5"/>
    <w:rsid w:val="007E3603"/>
    <w:rsid w:val="007E6B83"/>
    <w:rsid w:val="007F1708"/>
    <w:rsid w:val="007F271B"/>
    <w:rsid w:val="007F48BC"/>
    <w:rsid w:val="007F67D0"/>
    <w:rsid w:val="007F6EB0"/>
    <w:rsid w:val="007F7E97"/>
    <w:rsid w:val="00801522"/>
    <w:rsid w:val="008029F8"/>
    <w:rsid w:val="008032ED"/>
    <w:rsid w:val="00804398"/>
    <w:rsid w:val="008043D3"/>
    <w:rsid w:val="008045C0"/>
    <w:rsid w:val="00805315"/>
    <w:rsid w:val="008073B7"/>
    <w:rsid w:val="00807494"/>
    <w:rsid w:val="008075E4"/>
    <w:rsid w:val="00811F48"/>
    <w:rsid w:val="00814343"/>
    <w:rsid w:val="0081543C"/>
    <w:rsid w:val="00816C44"/>
    <w:rsid w:val="008176A8"/>
    <w:rsid w:val="008209DD"/>
    <w:rsid w:val="0082196A"/>
    <w:rsid w:val="0082202C"/>
    <w:rsid w:val="0082361E"/>
    <w:rsid w:val="00823EAE"/>
    <w:rsid w:val="00825660"/>
    <w:rsid w:val="0082589C"/>
    <w:rsid w:val="00827E82"/>
    <w:rsid w:val="008302A3"/>
    <w:rsid w:val="00831345"/>
    <w:rsid w:val="008313D3"/>
    <w:rsid w:val="0083288B"/>
    <w:rsid w:val="008338CB"/>
    <w:rsid w:val="0083458B"/>
    <w:rsid w:val="00836E9C"/>
    <w:rsid w:val="00841ED7"/>
    <w:rsid w:val="00842F38"/>
    <w:rsid w:val="008434C4"/>
    <w:rsid w:val="008467DF"/>
    <w:rsid w:val="008504DC"/>
    <w:rsid w:val="008507C4"/>
    <w:rsid w:val="0085436D"/>
    <w:rsid w:val="00857309"/>
    <w:rsid w:val="0086163A"/>
    <w:rsid w:val="00861658"/>
    <w:rsid w:val="00861F4B"/>
    <w:rsid w:val="00862E34"/>
    <w:rsid w:val="008633F1"/>
    <w:rsid w:val="008633F5"/>
    <w:rsid w:val="00863C7B"/>
    <w:rsid w:val="00864C41"/>
    <w:rsid w:val="00865E25"/>
    <w:rsid w:val="00865F78"/>
    <w:rsid w:val="00870BBE"/>
    <w:rsid w:val="008732AB"/>
    <w:rsid w:val="0087378C"/>
    <w:rsid w:val="0087448F"/>
    <w:rsid w:val="0087750B"/>
    <w:rsid w:val="0088120B"/>
    <w:rsid w:val="008830E5"/>
    <w:rsid w:val="00883BEC"/>
    <w:rsid w:val="008904A6"/>
    <w:rsid w:val="00890BB7"/>
    <w:rsid w:val="008951D5"/>
    <w:rsid w:val="00895675"/>
    <w:rsid w:val="00895E4B"/>
    <w:rsid w:val="008A13CB"/>
    <w:rsid w:val="008A2167"/>
    <w:rsid w:val="008A2C67"/>
    <w:rsid w:val="008A67AD"/>
    <w:rsid w:val="008B0EDD"/>
    <w:rsid w:val="008B4395"/>
    <w:rsid w:val="008B5BB6"/>
    <w:rsid w:val="008B678E"/>
    <w:rsid w:val="008B6B03"/>
    <w:rsid w:val="008C037F"/>
    <w:rsid w:val="008C2CA5"/>
    <w:rsid w:val="008C5F11"/>
    <w:rsid w:val="008D2C2F"/>
    <w:rsid w:val="008D56A0"/>
    <w:rsid w:val="008E180A"/>
    <w:rsid w:val="008E2F14"/>
    <w:rsid w:val="008E412F"/>
    <w:rsid w:val="008E6CCB"/>
    <w:rsid w:val="008E6D65"/>
    <w:rsid w:val="008E7F24"/>
    <w:rsid w:val="008F232C"/>
    <w:rsid w:val="008F509E"/>
    <w:rsid w:val="008F7BA0"/>
    <w:rsid w:val="008F7FF8"/>
    <w:rsid w:val="009000A9"/>
    <w:rsid w:val="00900F5A"/>
    <w:rsid w:val="00901F8D"/>
    <w:rsid w:val="00902341"/>
    <w:rsid w:val="0090319D"/>
    <w:rsid w:val="0090387F"/>
    <w:rsid w:val="00906F5A"/>
    <w:rsid w:val="00907E26"/>
    <w:rsid w:val="00911BD0"/>
    <w:rsid w:val="00911C00"/>
    <w:rsid w:val="009120C5"/>
    <w:rsid w:val="009129A1"/>
    <w:rsid w:val="00913787"/>
    <w:rsid w:val="00916420"/>
    <w:rsid w:val="00920056"/>
    <w:rsid w:val="00921284"/>
    <w:rsid w:val="00927D6F"/>
    <w:rsid w:val="00927DFA"/>
    <w:rsid w:val="00931905"/>
    <w:rsid w:val="009320C2"/>
    <w:rsid w:val="009322D6"/>
    <w:rsid w:val="00932C54"/>
    <w:rsid w:val="00933722"/>
    <w:rsid w:val="00933915"/>
    <w:rsid w:val="00940660"/>
    <w:rsid w:val="00943957"/>
    <w:rsid w:val="00943A58"/>
    <w:rsid w:val="009451D6"/>
    <w:rsid w:val="00945C7D"/>
    <w:rsid w:val="0095153B"/>
    <w:rsid w:val="0095286C"/>
    <w:rsid w:val="00953273"/>
    <w:rsid w:val="00957327"/>
    <w:rsid w:val="009609CB"/>
    <w:rsid w:val="00963890"/>
    <w:rsid w:val="00963BB3"/>
    <w:rsid w:val="0096473E"/>
    <w:rsid w:val="00965F69"/>
    <w:rsid w:val="009660EF"/>
    <w:rsid w:val="00966B7D"/>
    <w:rsid w:val="0097064B"/>
    <w:rsid w:val="00970730"/>
    <w:rsid w:val="00970F06"/>
    <w:rsid w:val="00972C26"/>
    <w:rsid w:val="00974627"/>
    <w:rsid w:val="00974AFB"/>
    <w:rsid w:val="009768D6"/>
    <w:rsid w:val="009821F9"/>
    <w:rsid w:val="00983D56"/>
    <w:rsid w:val="00985E1B"/>
    <w:rsid w:val="00986838"/>
    <w:rsid w:val="00986B5E"/>
    <w:rsid w:val="009902A4"/>
    <w:rsid w:val="00990A77"/>
    <w:rsid w:val="0099194B"/>
    <w:rsid w:val="00993B11"/>
    <w:rsid w:val="00994128"/>
    <w:rsid w:val="00995293"/>
    <w:rsid w:val="00995743"/>
    <w:rsid w:val="009965F4"/>
    <w:rsid w:val="0099693B"/>
    <w:rsid w:val="009976C1"/>
    <w:rsid w:val="00997929"/>
    <w:rsid w:val="00997E6B"/>
    <w:rsid w:val="009A16F1"/>
    <w:rsid w:val="009A177D"/>
    <w:rsid w:val="009A2FA2"/>
    <w:rsid w:val="009A33C7"/>
    <w:rsid w:val="009A3E55"/>
    <w:rsid w:val="009B28A7"/>
    <w:rsid w:val="009B2D68"/>
    <w:rsid w:val="009B75A1"/>
    <w:rsid w:val="009C22B9"/>
    <w:rsid w:val="009C2846"/>
    <w:rsid w:val="009C42BA"/>
    <w:rsid w:val="009C6DB9"/>
    <w:rsid w:val="009C7555"/>
    <w:rsid w:val="009D110D"/>
    <w:rsid w:val="009D1898"/>
    <w:rsid w:val="009D19B0"/>
    <w:rsid w:val="009D3BB9"/>
    <w:rsid w:val="009D5146"/>
    <w:rsid w:val="009D516A"/>
    <w:rsid w:val="009E01ED"/>
    <w:rsid w:val="009E10F7"/>
    <w:rsid w:val="009E177D"/>
    <w:rsid w:val="009E2828"/>
    <w:rsid w:val="009E412D"/>
    <w:rsid w:val="009E5B11"/>
    <w:rsid w:val="009E683B"/>
    <w:rsid w:val="009E7D87"/>
    <w:rsid w:val="009F1FA9"/>
    <w:rsid w:val="009F20C9"/>
    <w:rsid w:val="009F3C82"/>
    <w:rsid w:val="009F49C3"/>
    <w:rsid w:val="009F4F32"/>
    <w:rsid w:val="009F5560"/>
    <w:rsid w:val="00A01C55"/>
    <w:rsid w:val="00A0265F"/>
    <w:rsid w:val="00A02A21"/>
    <w:rsid w:val="00A02D4D"/>
    <w:rsid w:val="00A030C2"/>
    <w:rsid w:val="00A04D18"/>
    <w:rsid w:val="00A04FEA"/>
    <w:rsid w:val="00A05172"/>
    <w:rsid w:val="00A06C0A"/>
    <w:rsid w:val="00A06FB7"/>
    <w:rsid w:val="00A07D1C"/>
    <w:rsid w:val="00A10672"/>
    <w:rsid w:val="00A10B2A"/>
    <w:rsid w:val="00A1111E"/>
    <w:rsid w:val="00A13522"/>
    <w:rsid w:val="00A135B5"/>
    <w:rsid w:val="00A13BA2"/>
    <w:rsid w:val="00A14163"/>
    <w:rsid w:val="00A16718"/>
    <w:rsid w:val="00A17884"/>
    <w:rsid w:val="00A20C80"/>
    <w:rsid w:val="00A245DC"/>
    <w:rsid w:val="00A24B75"/>
    <w:rsid w:val="00A3154B"/>
    <w:rsid w:val="00A3155A"/>
    <w:rsid w:val="00A3205C"/>
    <w:rsid w:val="00A344A4"/>
    <w:rsid w:val="00A347EA"/>
    <w:rsid w:val="00A3513D"/>
    <w:rsid w:val="00A36187"/>
    <w:rsid w:val="00A36C17"/>
    <w:rsid w:val="00A37ABD"/>
    <w:rsid w:val="00A45C68"/>
    <w:rsid w:val="00A47728"/>
    <w:rsid w:val="00A5017F"/>
    <w:rsid w:val="00A507F2"/>
    <w:rsid w:val="00A50833"/>
    <w:rsid w:val="00A5097E"/>
    <w:rsid w:val="00A51FE6"/>
    <w:rsid w:val="00A523A5"/>
    <w:rsid w:val="00A52E0C"/>
    <w:rsid w:val="00A53C0C"/>
    <w:rsid w:val="00A53EF8"/>
    <w:rsid w:val="00A54CE5"/>
    <w:rsid w:val="00A55341"/>
    <w:rsid w:val="00A56493"/>
    <w:rsid w:val="00A56DEA"/>
    <w:rsid w:val="00A60143"/>
    <w:rsid w:val="00A60185"/>
    <w:rsid w:val="00A62663"/>
    <w:rsid w:val="00A636B5"/>
    <w:rsid w:val="00A66C43"/>
    <w:rsid w:val="00A70315"/>
    <w:rsid w:val="00A7071C"/>
    <w:rsid w:val="00A73F2C"/>
    <w:rsid w:val="00A7454B"/>
    <w:rsid w:val="00A75759"/>
    <w:rsid w:val="00A75F91"/>
    <w:rsid w:val="00A775FC"/>
    <w:rsid w:val="00A77CD6"/>
    <w:rsid w:val="00A816E6"/>
    <w:rsid w:val="00A832A0"/>
    <w:rsid w:val="00A83B4F"/>
    <w:rsid w:val="00A84C95"/>
    <w:rsid w:val="00A865A5"/>
    <w:rsid w:val="00A91A36"/>
    <w:rsid w:val="00A93002"/>
    <w:rsid w:val="00A94D1B"/>
    <w:rsid w:val="00A95520"/>
    <w:rsid w:val="00A9553B"/>
    <w:rsid w:val="00A97915"/>
    <w:rsid w:val="00AA3ED6"/>
    <w:rsid w:val="00AA46F4"/>
    <w:rsid w:val="00AA47F1"/>
    <w:rsid w:val="00AA66A5"/>
    <w:rsid w:val="00AB17FC"/>
    <w:rsid w:val="00AB1FEE"/>
    <w:rsid w:val="00AB24DF"/>
    <w:rsid w:val="00AB346E"/>
    <w:rsid w:val="00AB4362"/>
    <w:rsid w:val="00AB4B76"/>
    <w:rsid w:val="00AB4DE2"/>
    <w:rsid w:val="00AB61CE"/>
    <w:rsid w:val="00AB6613"/>
    <w:rsid w:val="00AB6D1B"/>
    <w:rsid w:val="00AC312F"/>
    <w:rsid w:val="00AC428B"/>
    <w:rsid w:val="00AC43F3"/>
    <w:rsid w:val="00AC4C16"/>
    <w:rsid w:val="00AC4D31"/>
    <w:rsid w:val="00AC4E3D"/>
    <w:rsid w:val="00AC6BE4"/>
    <w:rsid w:val="00AD0AF0"/>
    <w:rsid w:val="00AD1A34"/>
    <w:rsid w:val="00AD1B43"/>
    <w:rsid w:val="00AD3B4B"/>
    <w:rsid w:val="00AD4377"/>
    <w:rsid w:val="00AD507C"/>
    <w:rsid w:val="00AD6533"/>
    <w:rsid w:val="00AE1FF7"/>
    <w:rsid w:val="00AE239B"/>
    <w:rsid w:val="00AE297B"/>
    <w:rsid w:val="00AE3005"/>
    <w:rsid w:val="00AE4309"/>
    <w:rsid w:val="00AE4DAF"/>
    <w:rsid w:val="00AF0C28"/>
    <w:rsid w:val="00AF1BA8"/>
    <w:rsid w:val="00AF2524"/>
    <w:rsid w:val="00AF7664"/>
    <w:rsid w:val="00AF7740"/>
    <w:rsid w:val="00B01BF4"/>
    <w:rsid w:val="00B024B0"/>
    <w:rsid w:val="00B02819"/>
    <w:rsid w:val="00B042EC"/>
    <w:rsid w:val="00B04A93"/>
    <w:rsid w:val="00B04EF4"/>
    <w:rsid w:val="00B05D00"/>
    <w:rsid w:val="00B106D9"/>
    <w:rsid w:val="00B1128D"/>
    <w:rsid w:val="00B11C4F"/>
    <w:rsid w:val="00B12597"/>
    <w:rsid w:val="00B138BE"/>
    <w:rsid w:val="00B14049"/>
    <w:rsid w:val="00B14B4D"/>
    <w:rsid w:val="00B2092E"/>
    <w:rsid w:val="00B2096C"/>
    <w:rsid w:val="00B22D0F"/>
    <w:rsid w:val="00B230FC"/>
    <w:rsid w:val="00B23DF5"/>
    <w:rsid w:val="00B250E0"/>
    <w:rsid w:val="00B25AF7"/>
    <w:rsid w:val="00B309B0"/>
    <w:rsid w:val="00B30C73"/>
    <w:rsid w:val="00B316B5"/>
    <w:rsid w:val="00B318F7"/>
    <w:rsid w:val="00B321CA"/>
    <w:rsid w:val="00B32D3D"/>
    <w:rsid w:val="00B337A5"/>
    <w:rsid w:val="00B346CB"/>
    <w:rsid w:val="00B400B1"/>
    <w:rsid w:val="00B410E8"/>
    <w:rsid w:val="00B4185B"/>
    <w:rsid w:val="00B41BFE"/>
    <w:rsid w:val="00B4439C"/>
    <w:rsid w:val="00B444AC"/>
    <w:rsid w:val="00B451F2"/>
    <w:rsid w:val="00B46343"/>
    <w:rsid w:val="00B4757A"/>
    <w:rsid w:val="00B51D1F"/>
    <w:rsid w:val="00B55541"/>
    <w:rsid w:val="00B557BB"/>
    <w:rsid w:val="00B60B3E"/>
    <w:rsid w:val="00B625D1"/>
    <w:rsid w:val="00B63E19"/>
    <w:rsid w:val="00B64FD7"/>
    <w:rsid w:val="00B666CE"/>
    <w:rsid w:val="00B66B76"/>
    <w:rsid w:val="00B7072B"/>
    <w:rsid w:val="00B7270E"/>
    <w:rsid w:val="00B75700"/>
    <w:rsid w:val="00B76559"/>
    <w:rsid w:val="00B84F87"/>
    <w:rsid w:val="00B90379"/>
    <w:rsid w:val="00B9075E"/>
    <w:rsid w:val="00B91ED3"/>
    <w:rsid w:val="00B92F12"/>
    <w:rsid w:val="00B93463"/>
    <w:rsid w:val="00B95380"/>
    <w:rsid w:val="00B9569B"/>
    <w:rsid w:val="00B95743"/>
    <w:rsid w:val="00B9788A"/>
    <w:rsid w:val="00B97C0B"/>
    <w:rsid w:val="00BA136D"/>
    <w:rsid w:val="00BA3909"/>
    <w:rsid w:val="00BA46BC"/>
    <w:rsid w:val="00BA479A"/>
    <w:rsid w:val="00BA5095"/>
    <w:rsid w:val="00BA6D63"/>
    <w:rsid w:val="00BB1D2A"/>
    <w:rsid w:val="00BB3F21"/>
    <w:rsid w:val="00BB5AA2"/>
    <w:rsid w:val="00BB69B9"/>
    <w:rsid w:val="00BB7EF6"/>
    <w:rsid w:val="00BC1405"/>
    <w:rsid w:val="00BC1DB5"/>
    <w:rsid w:val="00BC31F0"/>
    <w:rsid w:val="00BC4F36"/>
    <w:rsid w:val="00BC56AC"/>
    <w:rsid w:val="00BC61DA"/>
    <w:rsid w:val="00BC6496"/>
    <w:rsid w:val="00BC7ABD"/>
    <w:rsid w:val="00BD0C77"/>
    <w:rsid w:val="00BD0CDF"/>
    <w:rsid w:val="00BD30E3"/>
    <w:rsid w:val="00BD37A7"/>
    <w:rsid w:val="00BD39B5"/>
    <w:rsid w:val="00BD39BF"/>
    <w:rsid w:val="00BD495E"/>
    <w:rsid w:val="00BD5594"/>
    <w:rsid w:val="00BD56F0"/>
    <w:rsid w:val="00BD5F5C"/>
    <w:rsid w:val="00BD7495"/>
    <w:rsid w:val="00BE041F"/>
    <w:rsid w:val="00BE15B0"/>
    <w:rsid w:val="00BE26A1"/>
    <w:rsid w:val="00BE3650"/>
    <w:rsid w:val="00BE399F"/>
    <w:rsid w:val="00BE444D"/>
    <w:rsid w:val="00BE498E"/>
    <w:rsid w:val="00BE4C97"/>
    <w:rsid w:val="00BE6579"/>
    <w:rsid w:val="00BE6C5A"/>
    <w:rsid w:val="00BF2B1D"/>
    <w:rsid w:val="00BF4D2F"/>
    <w:rsid w:val="00BF4EEF"/>
    <w:rsid w:val="00BF50CD"/>
    <w:rsid w:val="00BF6033"/>
    <w:rsid w:val="00BF7155"/>
    <w:rsid w:val="00C006C3"/>
    <w:rsid w:val="00C01EA6"/>
    <w:rsid w:val="00C03B0F"/>
    <w:rsid w:val="00C05B38"/>
    <w:rsid w:val="00C077D4"/>
    <w:rsid w:val="00C07B5A"/>
    <w:rsid w:val="00C11406"/>
    <w:rsid w:val="00C1296B"/>
    <w:rsid w:val="00C1350E"/>
    <w:rsid w:val="00C135BF"/>
    <w:rsid w:val="00C14104"/>
    <w:rsid w:val="00C14302"/>
    <w:rsid w:val="00C157A2"/>
    <w:rsid w:val="00C21C31"/>
    <w:rsid w:val="00C2302A"/>
    <w:rsid w:val="00C23B0B"/>
    <w:rsid w:val="00C24A92"/>
    <w:rsid w:val="00C252B6"/>
    <w:rsid w:val="00C25B37"/>
    <w:rsid w:val="00C27477"/>
    <w:rsid w:val="00C27EBE"/>
    <w:rsid w:val="00C32478"/>
    <w:rsid w:val="00C34414"/>
    <w:rsid w:val="00C34990"/>
    <w:rsid w:val="00C3637B"/>
    <w:rsid w:val="00C36411"/>
    <w:rsid w:val="00C36542"/>
    <w:rsid w:val="00C3799D"/>
    <w:rsid w:val="00C429B8"/>
    <w:rsid w:val="00C446B5"/>
    <w:rsid w:val="00C45080"/>
    <w:rsid w:val="00C5174B"/>
    <w:rsid w:val="00C52875"/>
    <w:rsid w:val="00C53BCD"/>
    <w:rsid w:val="00C549D9"/>
    <w:rsid w:val="00C564FC"/>
    <w:rsid w:val="00C613C8"/>
    <w:rsid w:val="00C63323"/>
    <w:rsid w:val="00C65978"/>
    <w:rsid w:val="00C6673C"/>
    <w:rsid w:val="00C66897"/>
    <w:rsid w:val="00C66A5B"/>
    <w:rsid w:val="00C67E8C"/>
    <w:rsid w:val="00C71514"/>
    <w:rsid w:val="00C7223D"/>
    <w:rsid w:val="00C723DD"/>
    <w:rsid w:val="00C72983"/>
    <w:rsid w:val="00C72E68"/>
    <w:rsid w:val="00C73929"/>
    <w:rsid w:val="00C756C0"/>
    <w:rsid w:val="00C762DD"/>
    <w:rsid w:val="00C765A2"/>
    <w:rsid w:val="00C807D5"/>
    <w:rsid w:val="00C81103"/>
    <w:rsid w:val="00C81A66"/>
    <w:rsid w:val="00C82451"/>
    <w:rsid w:val="00C853C7"/>
    <w:rsid w:val="00C87099"/>
    <w:rsid w:val="00C87291"/>
    <w:rsid w:val="00C90230"/>
    <w:rsid w:val="00C91B59"/>
    <w:rsid w:val="00C931B4"/>
    <w:rsid w:val="00C95B31"/>
    <w:rsid w:val="00C95E5B"/>
    <w:rsid w:val="00C97352"/>
    <w:rsid w:val="00CA0318"/>
    <w:rsid w:val="00CA2FC6"/>
    <w:rsid w:val="00CA3660"/>
    <w:rsid w:val="00CA422C"/>
    <w:rsid w:val="00CA50F7"/>
    <w:rsid w:val="00CA64AA"/>
    <w:rsid w:val="00CA7ED5"/>
    <w:rsid w:val="00CB0F9C"/>
    <w:rsid w:val="00CB26A5"/>
    <w:rsid w:val="00CB4248"/>
    <w:rsid w:val="00CB4D89"/>
    <w:rsid w:val="00CC1987"/>
    <w:rsid w:val="00CC21DD"/>
    <w:rsid w:val="00CC34E3"/>
    <w:rsid w:val="00CC364C"/>
    <w:rsid w:val="00CC3866"/>
    <w:rsid w:val="00CC556C"/>
    <w:rsid w:val="00CC575E"/>
    <w:rsid w:val="00CC5CE8"/>
    <w:rsid w:val="00CD0D5D"/>
    <w:rsid w:val="00CD1EE1"/>
    <w:rsid w:val="00CD3DC9"/>
    <w:rsid w:val="00CD3F3C"/>
    <w:rsid w:val="00CE0966"/>
    <w:rsid w:val="00CE0B9B"/>
    <w:rsid w:val="00CE27FC"/>
    <w:rsid w:val="00CE36B3"/>
    <w:rsid w:val="00CE724F"/>
    <w:rsid w:val="00CF08E1"/>
    <w:rsid w:val="00CF0D90"/>
    <w:rsid w:val="00CF1A3E"/>
    <w:rsid w:val="00CF2DFC"/>
    <w:rsid w:val="00CF3608"/>
    <w:rsid w:val="00CF5FF6"/>
    <w:rsid w:val="00CF6186"/>
    <w:rsid w:val="00CF6311"/>
    <w:rsid w:val="00CF70BF"/>
    <w:rsid w:val="00D00B2C"/>
    <w:rsid w:val="00D07668"/>
    <w:rsid w:val="00D10207"/>
    <w:rsid w:val="00D11708"/>
    <w:rsid w:val="00D11859"/>
    <w:rsid w:val="00D15EDA"/>
    <w:rsid w:val="00D16FAD"/>
    <w:rsid w:val="00D200E0"/>
    <w:rsid w:val="00D21653"/>
    <w:rsid w:val="00D21FBB"/>
    <w:rsid w:val="00D23C6D"/>
    <w:rsid w:val="00D2509C"/>
    <w:rsid w:val="00D26C90"/>
    <w:rsid w:val="00D3232D"/>
    <w:rsid w:val="00D333F6"/>
    <w:rsid w:val="00D37AE3"/>
    <w:rsid w:val="00D41371"/>
    <w:rsid w:val="00D433AB"/>
    <w:rsid w:val="00D44744"/>
    <w:rsid w:val="00D454EF"/>
    <w:rsid w:val="00D4633D"/>
    <w:rsid w:val="00D4764D"/>
    <w:rsid w:val="00D51AA3"/>
    <w:rsid w:val="00D51B5A"/>
    <w:rsid w:val="00D522EB"/>
    <w:rsid w:val="00D52661"/>
    <w:rsid w:val="00D531D4"/>
    <w:rsid w:val="00D53392"/>
    <w:rsid w:val="00D53E41"/>
    <w:rsid w:val="00D56E6F"/>
    <w:rsid w:val="00D605F9"/>
    <w:rsid w:val="00D67F8A"/>
    <w:rsid w:val="00D7145E"/>
    <w:rsid w:val="00D725BD"/>
    <w:rsid w:val="00D738F6"/>
    <w:rsid w:val="00D76218"/>
    <w:rsid w:val="00D76EBE"/>
    <w:rsid w:val="00D77640"/>
    <w:rsid w:val="00D7778D"/>
    <w:rsid w:val="00D77D54"/>
    <w:rsid w:val="00D80483"/>
    <w:rsid w:val="00D816D5"/>
    <w:rsid w:val="00D81C25"/>
    <w:rsid w:val="00D83AF2"/>
    <w:rsid w:val="00D84EF5"/>
    <w:rsid w:val="00D85534"/>
    <w:rsid w:val="00D85BBA"/>
    <w:rsid w:val="00D943D6"/>
    <w:rsid w:val="00D94A98"/>
    <w:rsid w:val="00D94FFD"/>
    <w:rsid w:val="00D95B9B"/>
    <w:rsid w:val="00D9752A"/>
    <w:rsid w:val="00DA11BE"/>
    <w:rsid w:val="00DA2F3E"/>
    <w:rsid w:val="00DA4954"/>
    <w:rsid w:val="00DA67AD"/>
    <w:rsid w:val="00DB0EAA"/>
    <w:rsid w:val="00DB0F1E"/>
    <w:rsid w:val="00DB1A39"/>
    <w:rsid w:val="00DB2B4E"/>
    <w:rsid w:val="00DB4078"/>
    <w:rsid w:val="00DB55ED"/>
    <w:rsid w:val="00DC00C2"/>
    <w:rsid w:val="00DC1179"/>
    <w:rsid w:val="00DC431C"/>
    <w:rsid w:val="00DC4CCD"/>
    <w:rsid w:val="00DC5DAE"/>
    <w:rsid w:val="00DC5F83"/>
    <w:rsid w:val="00DC69DE"/>
    <w:rsid w:val="00DC7059"/>
    <w:rsid w:val="00DC7925"/>
    <w:rsid w:val="00DD1AA2"/>
    <w:rsid w:val="00DD1D44"/>
    <w:rsid w:val="00DD258E"/>
    <w:rsid w:val="00DD2986"/>
    <w:rsid w:val="00DD36AF"/>
    <w:rsid w:val="00DD6C84"/>
    <w:rsid w:val="00DE2363"/>
    <w:rsid w:val="00DE2D4E"/>
    <w:rsid w:val="00DE3CEE"/>
    <w:rsid w:val="00DE4A79"/>
    <w:rsid w:val="00DE4BCF"/>
    <w:rsid w:val="00DE7014"/>
    <w:rsid w:val="00DF0331"/>
    <w:rsid w:val="00DF0ED2"/>
    <w:rsid w:val="00DF3D56"/>
    <w:rsid w:val="00DF467B"/>
    <w:rsid w:val="00DF48EC"/>
    <w:rsid w:val="00DF6510"/>
    <w:rsid w:val="00DF7F14"/>
    <w:rsid w:val="00E00021"/>
    <w:rsid w:val="00E01467"/>
    <w:rsid w:val="00E04E62"/>
    <w:rsid w:val="00E05106"/>
    <w:rsid w:val="00E058CE"/>
    <w:rsid w:val="00E05987"/>
    <w:rsid w:val="00E06438"/>
    <w:rsid w:val="00E06AEF"/>
    <w:rsid w:val="00E06C5F"/>
    <w:rsid w:val="00E06F7B"/>
    <w:rsid w:val="00E10C8C"/>
    <w:rsid w:val="00E11035"/>
    <w:rsid w:val="00E1192B"/>
    <w:rsid w:val="00E12640"/>
    <w:rsid w:val="00E12822"/>
    <w:rsid w:val="00E12887"/>
    <w:rsid w:val="00E13158"/>
    <w:rsid w:val="00E148B7"/>
    <w:rsid w:val="00E1513A"/>
    <w:rsid w:val="00E152B8"/>
    <w:rsid w:val="00E154DE"/>
    <w:rsid w:val="00E159BF"/>
    <w:rsid w:val="00E1797A"/>
    <w:rsid w:val="00E2169B"/>
    <w:rsid w:val="00E248DA"/>
    <w:rsid w:val="00E25991"/>
    <w:rsid w:val="00E26C85"/>
    <w:rsid w:val="00E31C83"/>
    <w:rsid w:val="00E356C6"/>
    <w:rsid w:val="00E36971"/>
    <w:rsid w:val="00E40AA4"/>
    <w:rsid w:val="00E40DE3"/>
    <w:rsid w:val="00E43E6D"/>
    <w:rsid w:val="00E44425"/>
    <w:rsid w:val="00E449BB"/>
    <w:rsid w:val="00E4539F"/>
    <w:rsid w:val="00E45D78"/>
    <w:rsid w:val="00E4769B"/>
    <w:rsid w:val="00E47784"/>
    <w:rsid w:val="00E47792"/>
    <w:rsid w:val="00E51378"/>
    <w:rsid w:val="00E51DB7"/>
    <w:rsid w:val="00E51E91"/>
    <w:rsid w:val="00E52A5A"/>
    <w:rsid w:val="00E55CFF"/>
    <w:rsid w:val="00E56E8D"/>
    <w:rsid w:val="00E575A4"/>
    <w:rsid w:val="00E57F5E"/>
    <w:rsid w:val="00E60210"/>
    <w:rsid w:val="00E61C1B"/>
    <w:rsid w:val="00E65A78"/>
    <w:rsid w:val="00E668A1"/>
    <w:rsid w:val="00E67F4E"/>
    <w:rsid w:val="00E70B47"/>
    <w:rsid w:val="00E72541"/>
    <w:rsid w:val="00E72D4D"/>
    <w:rsid w:val="00E751EF"/>
    <w:rsid w:val="00E76E4E"/>
    <w:rsid w:val="00E8069C"/>
    <w:rsid w:val="00E806E5"/>
    <w:rsid w:val="00E81329"/>
    <w:rsid w:val="00E83A01"/>
    <w:rsid w:val="00E846BE"/>
    <w:rsid w:val="00E848FE"/>
    <w:rsid w:val="00E85F39"/>
    <w:rsid w:val="00E9056B"/>
    <w:rsid w:val="00E9170B"/>
    <w:rsid w:val="00E925EB"/>
    <w:rsid w:val="00E94D0D"/>
    <w:rsid w:val="00E95343"/>
    <w:rsid w:val="00E97333"/>
    <w:rsid w:val="00EA053E"/>
    <w:rsid w:val="00EA261C"/>
    <w:rsid w:val="00EA3ACF"/>
    <w:rsid w:val="00EA3BA8"/>
    <w:rsid w:val="00EA44BB"/>
    <w:rsid w:val="00EA4F9E"/>
    <w:rsid w:val="00EA50B0"/>
    <w:rsid w:val="00EA62D1"/>
    <w:rsid w:val="00EA6DC8"/>
    <w:rsid w:val="00EB092F"/>
    <w:rsid w:val="00EB0A4A"/>
    <w:rsid w:val="00EB34BA"/>
    <w:rsid w:val="00EB3C83"/>
    <w:rsid w:val="00EB6D1F"/>
    <w:rsid w:val="00EB77B2"/>
    <w:rsid w:val="00EB7C66"/>
    <w:rsid w:val="00EB7D2B"/>
    <w:rsid w:val="00EC12D4"/>
    <w:rsid w:val="00EC6F6C"/>
    <w:rsid w:val="00ED05DA"/>
    <w:rsid w:val="00ED0BC1"/>
    <w:rsid w:val="00ED0D94"/>
    <w:rsid w:val="00ED28CD"/>
    <w:rsid w:val="00ED5006"/>
    <w:rsid w:val="00ED58A5"/>
    <w:rsid w:val="00EE1831"/>
    <w:rsid w:val="00EE1D8A"/>
    <w:rsid w:val="00EE31F9"/>
    <w:rsid w:val="00EE4683"/>
    <w:rsid w:val="00EE4F12"/>
    <w:rsid w:val="00EE50B3"/>
    <w:rsid w:val="00EE532A"/>
    <w:rsid w:val="00EE67FD"/>
    <w:rsid w:val="00EE6AD3"/>
    <w:rsid w:val="00EE7947"/>
    <w:rsid w:val="00EF027B"/>
    <w:rsid w:val="00EF02CC"/>
    <w:rsid w:val="00EF1B11"/>
    <w:rsid w:val="00EF1D9F"/>
    <w:rsid w:val="00EF2416"/>
    <w:rsid w:val="00EF3BDD"/>
    <w:rsid w:val="00EF40AC"/>
    <w:rsid w:val="00EF56A9"/>
    <w:rsid w:val="00F00E42"/>
    <w:rsid w:val="00F02BC1"/>
    <w:rsid w:val="00F04DBA"/>
    <w:rsid w:val="00F04E50"/>
    <w:rsid w:val="00F06F63"/>
    <w:rsid w:val="00F10E0D"/>
    <w:rsid w:val="00F14A5F"/>
    <w:rsid w:val="00F16700"/>
    <w:rsid w:val="00F17D68"/>
    <w:rsid w:val="00F212AF"/>
    <w:rsid w:val="00F2197E"/>
    <w:rsid w:val="00F22768"/>
    <w:rsid w:val="00F25944"/>
    <w:rsid w:val="00F26B5F"/>
    <w:rsid w:val="00F26B7A"/>
    <w:rsid w:val="00F273FF"/>
    <w:rsid w:val="00F27CAE"/>
    <w:rsid w:val="00F3043E"/>
    <w:rsid w:val="00F31427"/>
    <w:rsid w:val="00F31B28"/>
    <w:rsid w:val="00F31B92"/>
    <w:rsid w:val="00F32547"/>
    <w:rsid w:val="00F3319D"/>
    <w:rsid w:val="00F33757"/>
    <w:rsid w:val="00F346D1"/>
    <w:rsid w:val="00F4041B"/>
    <w:rsid w:val="00F415C7"/>
    <w:rsid w:val="00F428DA"/>
    <w:rsid w:val="00F42E69"/>
    <w:rsid w:val="00F431E3"/>
    <w:rsid w:val="00F454E3"/>
    <w:rsid w:val="00F4791E"/>
    <w:rsid w:val="00F5005F"/>
    <w:rsid w:val="00F500EE"/>
    <w:rsid w:val="00F51D97"/>
    <w:rsid w:val="00F51E9D"/>
    <w:rsid w:val="00F53504"/>
    <w:rsid w:val="00F55061"/>
    <w:rsid w:val="00F57C7A"/>
    <w:rsid w:val="00F6102A"/>
    <w:rsid w:val="00F613B2"/>
    <w:rsid w:val="00F62EC9"/>
    <w:rsid w:val="00F64980"/>
    <w:rsid w:val="00F64E51"/>
    <w:rsid w:val="00F6692B"/>
    <w:rsid w:val="00F704F6"/>
    <w:rsid w:val="00F7207D"/>
    <w:rsid w:val="00F72CC7"/>
    <w:rsid w:val="00F742DB"/>
    <w:rsid w:val="00F742F7"/>
    <w:rsid w:val="00F772D3"/>
    <w:rsid w:val="00F80006"/>
    <w:rsid w:val="00F80B08"/>
    <w:rsid w:val="00F80D22"/>
    <w:rsid w:val="00F82882"/>
    <w:rsid w:val="00F86478"/>
    <w:rsid w:val="00F8729B"/>
    <w:rsid w:val="00F906C3"/>
    <w:rsid w:val="00F90700"/>
    <w:rsid w:val="00F91600"/>
    <w:rsid w:val="00F9337D"/>
    <w:rsid w:val="00F938E3"/>
    <w:rsid w:val="00F94DFD"/>
    <w:rsid w:val="00F954D6"/>
    <w:rsid w:val="00F969B1"/>
    <w:rsid w:val="00F9723F"/>
    <w:rsid w:val="00FA0A63"/>
    <w:rsid w:val="00FA3D2A"/>
    <w:rsid w:val="00FA4E26"/>
    <w:rsid w:val="00FB037F"/>
    <w:rsid w:val="00FB3917"/>
    <w:rsid w:val="00FB5D68"/>
    <w:rsid w:val="00FB6205"/>
    <w:rsid w:val="00FB6F11"/>
    <w:rsid w:val="00FB71E0"/>
    <w:rsid w:val="00FB7BEB"/>
    <w:rsid w:val="00FC13BE"/>
    <w:rsid w:val="00FC5229"/>
    <w:rsid w:val="00FC57A8"/>
    <w:rsid w:val="00FC640B"/>
    <w:rsid w:val="00FD0B83"/>
    <w:rsid w:val="00FD1550"/>
    <w:rsid w:val="00FD1C4A"/>
    <w:rsid w:val="00FD2CB9"/>
    <w:rsid w:val="00FD30E4"/>
    <w:rsid w:val="00FD64D2"/>
    <w:rsid w:val="00FD74F7"/>
    <w:rsid w:val="00FE0189"/>
    <w:rsid w:val="00FE061B"/>
    <w:rsid w:val="00FE0C63"/>
    <w:rsid w:val="00FE40BC"/>
    <w:rsid w:val="00FE462E"/>
    <w:rsid w:val="00FE58AD"/>
    <w:rsid w:val="00FF012A"/>
    <w:rsid w:val="00FF043E"/>
    <w:rsid w:val="00FF15CC"/>
    <w:rsid w:val="00FF1666"/>
    <w:rsid w:val="00FF1E36"/>
    <w:rsid w:val="00FF32C2"/>
    <w:rsid w:val="00FF4B56"/>
    <w:rsid w:val="00FF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C0C687"/>
  <w15:chartTrackingRefBased/>
  <w15:docId w15:val="{4A5C4DBD-E721-429A-9B59-40639F91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9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9A6"/>
    <w:rPr>
      <w:rFonts w:ascii="Segoe UI" w:hAnsi="Segoe UI" w:cs="Segoe UI"/>
      <w:sz w:val="18"/>
      <w:szCs w:val="18"/>
    </w:rPr>
  </w:style>
  <w:style w:type="character" w:styleId="CommentReference">
    <w:name w:val="annotation reference"/>
    <w:basedOn w:val="DefaultParagraphFont"/>
    <w:uiPriority w:val="99"/>
    <w:semiHidden/>
    <w:unhideWhenUsed/>
    <w:rsid w:val="00AE4309"/>
    <w:rPr>
      <w:sz w:val="16"/>
      <w:szCs w:val="16"/>
    </w:rPr>
  </w:style>
  <w:style w:type="paragraph" w:styleId="CommentText">
    <w:name w:val="annotation text"/>
    <w:basedOn w:val="Normal"/>
    <w:link w:val="CommentTextChar"/>
    <w:uiPriority w:val="99"/>
    <w:semiHidden/>
    <w:unhideWhenUsed/>
    <w:rsid w:val="00AE4309"/>
    <w:pPr>
      <w:spacing w:line="240" w:lineRule="auto"/>
    </w:pPr>
    <w:rPr>
      <w:sz w:val="20"/>
      <w:szCs w:val="20"/>
    </w:rPr>
  </w:style>
  <w:style w:type="character" w:customStyle="1" w:styleId="CommentTextChar">
    <w:name w:val="Comment Text Char"/>
    <w:basedOn w:val="DefaultParagraphFont"/>
    <w:link w:val="CommentText"/>
    <w:uiPriority w:val="99"/>
    <w:semiHidden/>
    <w:rsid w:val="00AE4309"/>
    <w:rPr>
      <w:sz w:val="20"/>
      <w:szCs w:val="20"/>
    </w:rPr>
  </w:style>
  <w:style w:type="paragraph" w:styleId="CommentSubject">
    <w:name w:val="annotation subject"/>
    <w:basedOn w:val="CommentText"/>
    <w:next w:val="CommentText"/>
    <w:link w:val="CommentSubjectChar"/>
    <w:uiPriority w:val="99"/>
    <w:semiHidden/>
    <w:unhideWhenUsed/>
    <w:rsid w:val="00AE4309"/>
    <w:rPr>
      <w:b/>
      <w:bCs/>
    </w:rPr>
  </w:style>
  <w:style w:type="character" w:customStyle="1" w:styleId="CommentSubjectChar">
    <w:name w:val="Comment Subject Char"/>
    <w:basedOn w:val="CommentTextChar"/>
    <w:link w:val="CommentSubject"/>
    <w:uiPriority w:val="99"/>
    <w:semiHidden/>
    <w:rsid w:val="00AE4309"/>
    <w:rPr>
      <w:b/>
      <w:bCs/>
      <w:sz w:val="20"/>
      <w:szCs w:val="20"/>
    </w:rPr>
  </w:style>
  <w:style w:type="paragraph" w:styleId="Header">
    <w:name w:val="header"/>
    <w:basedOn w:val="Normal"/>
    <w:link w:val="HeaderChar"/>
    <w:uiPriority w:val="99"/>
    <w:unhideWhenUsed/>
    <w:rsid w:val="00DE7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014"/>
  </w:style>
  <w:style w:type="paragraph" w:styleId="Footer">
    <w:name w:val="footer"/>
    <w:basedOn w:val="Normal"/>
    <w:link w:val="FooterChar"/>
    <w:uiPriority w:val="99"/>
    <w:unhideWhenUsed/>
    <w:rsid w:val="00DE7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014"/>
  </w:style>
  <w:style w:type="character" w:styleId="Hyperlink">
    <w:name w:val="Hyperlink"/>
    <w:basedOn w:val="DefaultParagraphFont"/>
    <w:uiPriority w:val="99"/>
    <w:unhideWhenUsed/>
    <w:rsid w:val="00672476"/>
    <w:rPr>
      <w:color w:val="0000FF"/>
      <w:u w:val="single"/>
    </w:rPr>
  </w:style>
  <w:style w:type="table" w:styleId="TableGrid">
    <w:name w:val="Table Grid"/>
    <w:basedOn w:val="TableNormal"/>
    <w:uiPriority w:val="39"/>
    <w:rsid w:val="0099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2D21"/>
    <w:rPr>
      <w:color w:val="954F72" w:themeColor="followedHyperlink"/>
      <w:u w:val="single"/>
    </w:rPr>
  </w:style>
  <w:style w:type="paragraph" w:styleId="ListParagraph">
    <w:name w:val="List Paragraph"/>
    <w:basedOn w:val="Normal"/>
    <w:uiPriority w:val="34"/>
    <w:qFormat/>
    <w:rsid w:val="00F16700"/>
    <w:pPr>
      <w:spacing w:after="0" w:line="240" w:lineRule="auto"/>
      <w:ind w:left="720"/>
      <w:contextualSpacing/>
    </w:pPr>
    <w:rPr>
      <w:rFonts w:ascii="Arial" w:eastAsia="Times New Roman" w:hAnsi="Arial" w:cs="Times New Roman"/>
      <w:sz w:val="24"/>
      <w:szCs w:val="20"/>
    </w:rPr>
  </w:style>
  <w:style w:type="character" w:customStyle="1" w:styleId="apple-converted-space">
    <w:name w:val="apple-converted-space"/>
    <w:basedOn w:val="DefaultParagraphFont"/>
    <w:rsid w:val="006C7A98"/>
  </w:style>
  <w:style w:type="character" w:styleId="UnresolvedMention">
    <w:name w:val="Unresolved Mention"/>
    <w:basedOn w:val="DefaultParagraphFont"/>
    <w:uiPriority w:val="99"/>
    <w:semiHidden/>
    <w:unhideWhenUsed/>
    <w:rsid w:val="0030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138">
      <w:bodyDiv w:val="1"/>
      <w:marLeft w:val="0"/>
      <w:marRight w:val="0"/>
      <w:marTop w:val="0"/>
      <w:marBottom w:val="0"/>
      <w:divBdr>
        <w:top w:val="none" w:sz="0" w:space="0" w:color="auto"/>
        <w:left w:val="none" w:sz="0" w:space="0" w:color="auto"/>
        <w:bottom w:val="none" w:sz="0" w:space="0" w:color="auto"/>
        <w:right w:val="none" w:sz="0" w:space="0" w:color="auto"/>
      </w:divBdr>
    </w:div>
    <w:div w:id="12072772">
      <w:bodyDiv w:val="1"/>
      <w:marLeft w:val="0"/>
      <w:marRight w:val="0"/>
      <w:marTop w:val="0"/>
      <w:marBottom w:val="0"/>
      <w:divBdr>
        <w:top w:val="none" w:sz="0" w:space="0" w:color="auto"/>
        <w:left w:val="none" w:sz="0" w:space="0" w:color="auto"/>
        <w:bottom w:val="none" w:sz="0" w:space="0" w:color="auto"/>
        <w:right w:val="none" w:sz="0" w:space="0" w:color="auto"/>
      </w:divBdr>
    </w:div>
    <w:div w:id="21561480">
      <w:bodyDiv w:val="1"/>
      <w:marLeft w:val="0"/>
      <w:marRight w:val="0"/>
      <w:marTop w:val="0"/>
      <w:marBottom w:val="0"/>
      <w:divBdr>
        <w:top w:val="none" w:sz="0" w:space="0" w:color="auto"/>
        <w:left w:val="none" w:sz="0" w:space="0" w:color="auto"/>
        <w:bottom w:val="none" w:sz="0" w:space="0" w:color="auto"/>
        <w:right w:val="none" w:sz="0" w:space="0" w:color="auto"/>
      </w:divBdr>
    </w:div>
    <w:div w:id="48500290">
      <w:bodyDiv w:val="1"/>
      <w:marLeft w:val="0"/>
      <w:marRight w:val="0"/>
      <w:marTop w:val="0"/>
      <w:marBottom w:val="0"/>
      <w:divBdr>
        <w:top w:val="none" w:sz="0" w:space="0" w:color="auto"/>
        <w:left w:val="none" w:sz="0" w:space="0" w:color="auto"/>
        <w:bottom w:val="none" w:sz="0" w:space="0" w:color="auto"/>
        <w:right w:val="none" w:sz="0" w:space="0" w:color="auto"/>
      </w:divBdr>
    </w:div>
    <w:div w:id="138767811">
      <w:bodyDiv w:val="1"/>
      <w:marLeft w:val="0"/>
      <w:marRight w:val="0"/>
      <w:marTop w:val="0"/>
      <w:marBottom w:val="0"/>
      <w:divBdr>
        <w:top w:val="none" w:sz="0" w:space="0" w:color="auto"/>
        <w:left w:val="none" w:sz="0" w:space="0" w:color="auto"/>
        <w:bottom w:val="none" w:sz="0" w:space="0" w:color="auto"/>
        <w:right w:val="none" w:sz="0" w:space="0" w:color="auto"/>
      </w:divBdr>
    </w:div>
    <w:div w:id="213859439">
      <w:bodyDiv w:val="1"/>
      <w:marLeft w:val="0"/>
      <w:marRight w:val="0"/>
      <w:marTop w:val="0"/>
      <w:marBottom w:val="0"/>
      <w:divBdr>
        <w:top w:val="none" w:sz="0" w:space="0" w:color="auto"/>
        <w:left w:val="none" w:sz="0" w:space="0" w:color="auto"/>
        <w:bottom w:val="none" w:sz="0" w:space="0" w:color="auto"/>
        <w:right w:val="none" w:sz="0" w:space="0" w:color="auto"/>
      </w:divBdr>
    </w:div>
    <w:div w:id="245186264">
      <w:bodyDiv w:val="1"/>
      <w:marLeft w:val="0"/>
      <w:marRight w:val="0"/>
      <w:marTop w:val="0"/>
      <w:marBottom w:val="0"/>
      <w:divBdr>
        <w:top w:val="none" w:sz="0" w:space="0" w:color="auto"/>
        <w:left w:val="none" w:sz="0" w:space="0" w:color="auto"/>
        <w:bottom w:val="none" w:sz="0" w:space="0" w:color="auto"/>
        <w:right w:val="none" w:sz="0" w:space="0" w:color="auto"/>
      </w:divBdr>
    </w:div>
    <w:div w:id="279462428">
      <w:bodyDiv w:val="1"/>
      <w:marLeft w:val="0"/>
      <w:marRight w:val="0"/>
      <w:marTop w:val="0"/>
      <w:marBottom w:val="0"/>
      <w:divBdr>
        <w:top w:val="none" w:sz="0" w:space="0" w:color="auto"/>
        <w:left w:val="none" w:sz="0" w:space="0" w:color="auto"/>
        <w:bottom w:val="none" w:sz="0" w:space="0" w:color="auto"/>
        <w:right w:val="none" w:sz="0" w:space="0" w:color="auto"/>
      </w:divBdr>
    </w:div>
    <w:div w:id="330911746">
      <w:bodyDiv w:val="1"/>
      <w:marLeft w:val="0"/>
      <w:marRight w:val="0"/>
      <w:marTop w:val="0"/>
      <w:marBottom w:val="0"/>
      <w:divBdr>
        <w:top w:val="none" w:sz="0" w:space="0" w:color="auto"/>
        <w:left w:val="none" w:sz="0" w:space="0" w:color="auto"/>
        <w:bottom w:val="none" w:sz="0" w:space="0" w:color="auto"/>
        <w:right w:val="none" w:sz="0" w:space="0" w:color="auto"/>
      </w:divBdr>
    </w:div>
    <w:div w:id="359359941">
      <w:bodyDiv w:val="1"/>
      <w:marLeft w:val="0"/>
      <w:marRight w:val="0"/>
      <w:marTop w:val="0"/>
      <w:marBottom w:val="0"/>
      <w:divBdr>
        <w:top w:val="none" w:sz="0" w:space="0" w:color="auto"/>
        <w:left w:val="none" w:sz="0" w:space="0" w:color="auto"/>
        <w:bottom w:val="none" w:sz="0" w:space="0" w:color="auto"/>
        <w:right w:val="none" w:sz="0" w:space="0" w:color="auto"/>
      </w:divBdr>
    </w:div>
    <w:div w:id="403793598">
      <w:bodyDiv w:val="1"/>
      <w:marLeft w:val="0"/>
      <w:marRight w:val="0"/>
      <w:marTop w:val="0"/>
      <w:marBottom w:val="0"/>
      <w:divBdr>
        <w:top w:val="none" w:sz="0" w:space="0" w:color="auto"/>
        <w:left w:val="none" w:sz="0" w:space="0" w:color="auto"/>
        <w:bottom w:val="none" w:sz="0" w:space="0" w:color="auto"/>
        <w:right w:val="none" w:sz="0" w:space="0" w:color="auto"/>
      </w:divBdr>
    </w:div>
    <w:div w:id="452091766">
      <w:bodyDiv w:val="1"/>
      <w:marLeft w:val="0"/>
      <w:marRight w:val="0"/>
      <w:marTop w:val="0"/>
      <w:marBottom w:val="0"/>
      <w:divBdr>
        <w:top w:val="none" w:sz="0" w:space="0" w:color="auto"/>
        <w:left w:val="none" w:sz="0" w:space="0" w:color="auto"/>
        <w:bottom w:val="none" w:sz="0" w:space="0" w:color="auto"/>
        <w:right w:val="none" w:sz="0" w:space="0" w:color="auto"/>
      </w:divBdr>
    </w:div>
    <w:div w:id="485516050">
      <w:bodyDiv w:val="1"/>
      <w:marLeft w:val="0"/>
      <w:marRight w:val="0"/>
      <w:marTop w:val="0"/>
      <w:marBottom w:val="0"/>
      <w:divBdr>
        <w:top w:val="none" w:sz="0" w:space="0" w:color="auto"/>
        <w:left w:val="none" w:sz="0" w:space="0" w:color="auto"/>
        <w:bottom w:val="none" w:sz="0" w:space="0" w:color="auto"/>
        <w:right w:val="none" w:sz="0" w:space="0" w:color="auto"/>
      </w:divBdr>
    </w:div>
    <w:div w:id="502284209">
      <w:bodyDiv w:val="1"/>
      <w:marLeft w:val="0"/>
      <w:marRight w:val="0"/>
      <w:marTop w:val="0"/>
      <w:marBottom w:val="0"/>
      <w:divBdr>
        <w:top w:val="none" w:sz="0" w:space="0" w:color="auto"/>
        <w:left w:val="none" w:sz="0" w:space="0" w:color="auto"/>
        <w:bottom w:val="none" w:sz="0" w:space="0" w:color="auto"/>
        <w:right w:val="none" w:sz="0" w:space="0" w:color="auto"/>
      </w:divBdr>
    </w:div>
    <w:div w:id="596913210">
      <w:bodyDiv w:val="1"/>
      <w:marLeft w:val="0"/>
      <w:marRight w:val="0"/>
      <w:marTop w:val="0"/>
      <w:marBottom w:val="0"/>
      <w:divBdr>
        <w:top w:val="none" w:sz="0" w:space="0" w:color="auto"/>
        <w:left w:val="none" w:sz="0" w:space="0" w:color="auto"/>
        <w:bottom w:val="none" w:sz="0" w:space="0" w:color="auto"/>
        <w:right w:val="none" w:sz="0" w:space="0" w:color="auto"/>
      </w:divBdr>
    </w:div>
    <w:div w:id="599289949">
      <w:bodyDiv w:val="1"/>
      <w:marLeft w:val="0"/>
      <w:marRight w:val="0"/>
      <w:marTop w:val="0"/>
      <w:marBottom w:val="0"/>
      <w:divBdr>
        <w:top w:val="none" w:sz="0" w:space="0" w:color="auto"/>
        <w:left w:val="none" w:sz="0" w:space="0" w:color="auto"/>
        <w:bottom w:val="none" w:sz="0" w:space="0" w:color="auto"/>
        <w:right w:val="none" w:sz="0" w:space="0" w:color="auto"/>
      </w:divBdr>
    </w:div>
    <w:div w:id="600799799">
      <w:bodyDiv w:val="1"/>
      <w:marLeft w:val="0"/>
      <w:marRight w:val="0"/>
      <w:marTop w:val="0"/>
      <w:marBottom w:val="0"/>
      <w:divBdr>
        <w:top w:val="none" w:sz="0" w:space="0" w:color="auto"/>
        <w:left w:val="none" w:sz="0" w:space="0" w:color="auto"/>
        <w:bottom w:val="none" w:sz="0" w:space="0" w:color="auto"/>
        <w:right w:val="none" w:sz="0" w:space="0" w:color="auto"/>
      </w:divBdr>
    </w:div>
    <w:div w:id="602806693">
      <w:bodyDiv w:val="1"/>
      <w:marLeft w:val="0"/>
      <w:marRight w:val="0"/>
      <w:marTop w:val="0"/>
      <w:marBottom w:val="0"/>
      <w:divBdr>
        <w:top w:val="none" w:sz="0" w:space="0" w:color="auto"/>
        <w:left w:val="none" w:sz="0" w:space="0" w:color="auto"/>
        <w:bottom w:val="none" w:sz="0" w:space="0" w:color="auto"/>
        <w:right w:val="none" w:sz="0" w:space="0" w:color="auto"/>
      </w:divBdr>
    </w:div>
    <w:div w:id="724455022">
      <w:bodyDiv w:val="1"/>
      <w:marLeft w:val="0"/>
      <w:marRight w:val="0"/>
      <w:marTop w:val="0"/>
      <w:marBottom w:val="0"/>
      <w:divBdr>
        <w:top w:val="none" w:sz="0" w:space="0" w:color="auto"/>
        <w:left w:val="none" w:sz="0" w:space="0" w:color="auto"/>
        <w:bottom w:val="none" w:sz="0" w:space="0" w:color="auto"/>
        <w:right w:val="none" w:sz="0" w:space="0" w:color="auto"/>
      </w:divBdr>
    </w:div>
    <w:div w:id="739837947">
      <w:bodyDiv w:val="1"/>
      <w:marLeft w:val="0"/>
      <w:marRight w:val="0"/>
      <w:marTop w:val="0"/>
      <w:marBottom w:val="0"/>
      <w:divBdr>
        <w:top w:val="none" w:sz="0" w:space="0" w:color="auto"/>
        <w:left w:val="none" w:sz="0" w:space="0" w:color="auto"/>
        <w:bottom w:val="none" w:sz="0" w:space="0" w:color="auto"/>
        <w:right w:val="none" w:sz="0" w:space="0" w:color="auto"/>
      </w:divBdr>
    </w:div>
    <w:div w:id="750473232">
      <w:bodyDiv w:val="1"/>
      <w:marLeft w:val="0"/>
      <w:marRight w:val="0"/>
      <w:marTop w:val="0"/>
      <w:marBottom w:val="0"/>
      <w:divBdr>
        <w:top w:val="none" w:sz="0" w:space="0" w:color="auto"/>
        <w:left w:val="none" w:sz="0" w:space="0" w:color="auto"/>
        <w:bottom w:val="none" w:sz="0" w:space="0" w:color="auto"/>
        <w:right w:val="none" w:sz="0" w:space="0" w:color="auto"/>
      </w:divBdr>
    </w:div>
    <w:div w:id="878206559">
      <w:bodyDiv w:val="1"/>
      <w:marLeft w:val="0"/>
      <w:marRight w:val="0"/>
      <w:marTop w:val="0"/>
      <w:marBottom w:val="0"/>
      <w:divBdr>
        <w:top w:val="none" w:sz="0" w:space="0" w:color="auto"/>
        <w:left w:val="none" w:sz="0" w:space="0" w:color="auto"/>
        <w:bottom w:val="none" w:sz="0" w:space="0" w:color="auto"/>
        <w:right w:val="none" w:sz="0" w:space="0" w:color="auto"/>
      </w:divBdr>
    </w:div>
    <w:div w:id="899905228">
      <w:bodyDiv w:val="1"/>
      <w:marLeft w:val="0"/>
      <w:marRight w:val="0"/>
      <w:marTop w:val="0"/>
      <w:marBottom w:val="0"/>
      <w:divBdr>
        <w:top w:val="none" w:sz="0" w:space="0" w:color="auto"/>
        <w:left w:val="none" w:sz="0" w:space="0" w:color="auto"/>
        <w:bottom w:val="none" w:sz="0" w:space="0" w:color="auto"/>
        <w:right w:val="none" w:sz="0" w:space="0" w:color="auto"/>
      </w:divBdr>
    </w:div>
    <w:div w:id="910383446">
      <w:bodyDiv w:val="1"/>
      <w:marLeft w:val="0"/>
      <w:marRight w:val="0"/>
      <w:marTop w:val="0"/>
      <w:marBottom w:val="0"/>
      <w:divBdr>
        <w:top w:val="none" w:sz="0" w:space="0" w:color="auto"/>
        <w:left w:val="none" w:sz="0" w:space="0" w:color="auto"/>
        <w:bottom w:val="none" w:sz="0" w:space="0" w:color="auto"/>
        <w:right w:val="none" w:sz="0" w:space="0" w:color="auto"/>
      </w:divBdr>
    </w:div>
    <w:div w:id="964966347">
      <w:bodyDiv w:val="1"/>
      <w:marLeft w:val="0"/>
      <w:marRight w:val="0"/>
      <w:marTop w:val="0"/>
      <w:marBottom w:val="0"/>
      <w:divBdr>
        <w:top w:val="none" w:sz="0" w:space="0" w:color="auto"/>
        <w:left w:val="none" w:sz="0" w:space="0" w:color="auto"/>
        <w:bottom w:val="none" w:sz="0" w:space="0" w:color="auto"/>
        <w:right w:val="none" w:sz="0" w:space="0" w:color="auto"/>
      </w:divBdr>
    </w:div>
    <w:div w:id="1054698634">
      <w:bodyDiv w:val="1"/>
      <w:marLeft w:val="0"/>
      <w:marRight w:val="0"/>
      <w:marTop w:val="0"/>
      <w:marBottom w:val="0"/>
      <w:divBdr>
        <w:top w:val="none" w:sz="0" w:space="0" w:color="auto"/>
        <w:left w:val="none" w:sz="0" w:space="0" w:color="auto"/>
        <w:bottom w:val="none" w:sz="0" w:space="0" w:color="auto"/>
        <w:right w:val="none" w:sz="0" w:space="0" w:color="auto"/>
      </w:divBdr>
    </w:div>
    <w:div w:id="1055550189">
      <w:bodyDiv w:val="1"/>
      <w:marLeft w:val="0"/>
      <w:marRight w:val="0"/>
      <w:marTop w:val="0"/>
      <w:marBottom w:val="0"/>
      <w:divBdr>
        <w:top w:val="none" w:sz="0" w:space="0" w:color="auto"/>
        <w:left w:val="none" w:sz="0" w:space="0" w:color="auto"/>
        <w:bottom w:val="none" w:sz="0" w:space="0" w:color="auto"/>
        <w:right w:val="none" w:sz="0" w:space="0" w:color="auto"/>
      </w:divBdr>
    </w:div>
    <w:div w:id="1163668329">
      <w:bodyDiv w:val="1"/>
      <w:marLeft w:val="0"/>
      <w:marRight w:val="0"/>
      <w:marTop w:val="0"/>
      <w:marBottom w:val="0"/>
      <w:divBdr>
        <w:top w:val="none" w:sz="0" w:space="0" w:color="auto"/>
        <w:left w:val="none" w:sz="0" w:space="0" w:color="auto"/>
        <w:bottom w:val="none" w:sz="0" w:space="0" w:color="auto"/>
        <w:right w:val="none" w:sz="0" w:space="0" w:color="auto"/>
      </w:divBdr>
    </w:div>
    <w:div w:id="1232961064">
      <w:bodyDiv w:val="1"/>
      <w:marLeft w:val="0"/>
      <w:marRight w:val="0"/>
      <w:marTop w:val="0"/>
      <w:marBottom w:val="0"/>
      <w:divBdr>
        <w:top w:val="none" w:sz="0" w:space="0" w:color="auto"/>
        <w:left w:val="none" w:sz="0" w:space="0" w:color="auto"/>
        <w:bottom w:val="none" w:sz="0" w:space="0" w:color="auto"/>
        <w:right w:val="none" w:sz="0" w:space="0" w:color="auto"/>
      </w:divBdr>
    </w:div>
    <w:div w:id="1410614488">
      <w:bodyDiv w:val="1"/>
      <w:marLeft w:val="0"/>
      <w:marRight w:val="0"/>
      <w:marTop w:val="0"/>
      <w:marBottom w:val="0"/>
      <w:divBdr>
        <w:top w:val="none" w:sz="0" w:space="0" w:color="auto"/>
        <w:left w:val="none" w:sz="0" w:space="0" w:color="auto"/>
        <w:bottom w:val="none" w:sz="0" w:space="0" w:color="auto"/>
        <w:right w:val="none" w:sz="0" w:space="0" w:color="auto"/>
      </w:divBdr>
    </w:div>
    <w:div w:id="1501920866">
      <w:bodyDiv w:val="1"/>
      <w:marLeft w:val="0"/>
      <w:marRight w:val="0"/>
      <w:marTop w:val="0"/>
      <w:marBottom w:val="0"/>
      <w:divBdr>
        <w:top w:val="none" w:sz="0" w:space="0" w:color="auto"/>
        <w:left w:val="none" w:sz="0" w:space="0" w:color="auto"/>
        <w:bottom w:val="none" w:sz="0" w:space="0" w:color="auto"/>
        <w:right w:val="none" w:sz="0" w:space="0" w:color="auto"/>
      </w:divBdr>
    </w:div>
    <w:div w:id="1559393623">
      <w:bodyDiv w:val="1"/>
      <w:marLeft w:val="0"/>
      <w:marRight w:val="0"/>
      <w:marTop w:val="0"/>
      <w:marBottom w:val="0"/>
      <w:divBdr>
        <w:top w:val="none" w:sz="0" w:space="0" w:color="auto"/>
        <w:left w:val="none" w:sz="0" w:space="0" w:color="auto"/>
        <w:bottom w:val="none" w:sz="0" w:space="0" w:color="auto"/>
        <w:right w:val="none" w:sz="0" w:space="0" w:color="auto"/>
      </w:divBdr>
    </w:div>
    <w:div w:id="1660696083">
      <w:bodyDiv w:val="1"/>
      <w:marLeft w:val="0"/>
      <w:marRight w:val="0"/>
      <w:marTop w:val="0"/>
      <w:marBottom w:val="0"/>
      <w:divBdr>
        <w:top w:val="none" w:sz="0" w:space="0" w:color="auto"/>
        <w:left w:val="none" w:sz="0" w:space="0" w:color="auto"/>
        <w:bottom w:val="none" w:sz="0" w:space="0" w:color="auto"/>
        <w:right w:val="none" w:sz="0" w:space="0" w:color="auto"/>
      </w:divBdr>
    </w:div>
    <w:div w:id="1725837723">
      <w:bodyDiv w:val="1"/>
      <w:marLeft w:val="0"/>
      <w:marRight w:val="0"/>
      <w:marTop w:val="0"/>
      <w:marBottom w:val="0"/>
      <w:divBdr>
        <w:top w:val="none" w:sz="0" w:space="0" w:color="auto"/>
        <w:left w:val="none" w:sz="0" w:space="0" w:color="auto"/>
        <w:bottom w:val="none" w:sz="0" w:space="0" w:color="auto"/>
        <w:right w:val="none" w:sz="0" w:space="0" w:color="auto"/>
      </w:divBdr>
    </w:div>
    <w:div w:id="1781559921">
      <w:bodyDiv w:val="1"/>
      <w:marLeft w:val="0"/>
      <w:marRight w:val="0"/>
      <w:marTop w:val="0"/>
      <w:marBottom w:val="0"/>
      <w:divBdr>
        <w:top w:val="none" w:sz="0" w:space="0" w:color="auto"/>
        <w:left w:val="none" w:sz="0" w:space="0" w:color="auto"/>
        <w:bottom w:val="none" w:sz="0" w:space="0" w:color="auto"/>
        <w:right w:val="none" w:sz="0" w:space="0" w:color="auto"/>
      </w:divBdr>
    </w:div>
    <w:div w:id="1789818301">
      <w:bodyDiv w:val="1"/>
      <w:marLeft w:val="0"/>
      <w:marRight w:val="0"/>
      <w:marTop w:val="0"/>
      <w:marBottom w:val="0"/>
      <w:divBdr>
        <w:top w:val="none" w:sz="0" w:space="0" w:color="auto"/>
        <w:left w:val="none" w:sz="0" w:space="0" w:color="auto"/>
        <w:bottom w:val="none" w:sz="0" w:space="0" w:color="auto"/>
        <w:right w:val="none" w:sz="0" w:space="0" w:color="auto"/>
      </w:divBdr>
    </w:div>
    <w:div w:id="1834374842">
      <w:bodyDiv w:val="1"/>
      <w:marLeft w:val="0"/>
      <w:marRight w:val="0"/>
      <w:marTop w:val="0"/>
      <w:marBottom w:val="0"/>
      <w:divBdr>
        <w:top w:val="none" w:sz="0" w:space="0" w:color="auto"/>
        <w:left w:val="none" w:sz="0" w:space="0" w:color="auto"/>
        <w:bottom w:val="none" w:sz="0" w:space="0" w:color="auto"/>
        <w:right w:val="none" w:sz="0" w:space="0" w:color="auto"/>
      </w:divBdr>
    </w:div>
    <w:div w:id="1841391246">
      <w:bodyDiv w:val="1"/>
      <w:marLeft w:val="0"/>
      <w:marRight w:val="0"/>
      <w:marTop w:val="0"/>
      <w:marBottom w:val="0"/>
      <w:divBdr>
        <w:top w:val="none" w:sz="0" w:space="0" w:color="auto"/>
        <w:left w:val="none" w:sz="0" w:space="0" w:color="auto"/>
        <w:bottom w:val="none" w:sz="0" w:space="0" w:color="auto"/>
        <w:right w:val="none" w:sz="0" w:space="0" w:color="auto"/>
      </w:divBdr>
    </w:div>
    <w:div w:id="1895118626">
      <w:bodyDiv w:val="1"/>
      <w:marLeft w:val="0"/>
      <w:marRight w:val="0"/>
      <w:marTop w:val="0"/>
      <w:marBottom w:val="0"/>
      <w:divBdr>
        <w:top w:val="none" w:sz="0" w:space="0" w:color="auto"/>
        <w:left w:val="none" w:sz="0" w:space="0" w:color="auto"/>
        <w:bottom w:val="none" w:sz="0" w:space="0" w:color="auto"/>
        <w:right w:val="none" w:sz="0" w:space="0" w:color="auto"/>
      </w:divBdr>
    </w:div>
    <w:div w:id="1931309686">
      <w:bodyDiv w:val="1"/>
      <w:marLeft w:val="0"/>
      <w:marRight w:val="0"/>
      <w:marTop w:val="0"/>
      <w:marBottom w:val="0"/>
      <w:divBdr>
        <w:top w:val="none" w:sz="0" w:space="0" w:color="auto"/>
        <w:left w:val="none" w:sz="0" w:space="0" w:color="auto"/>
        <w:bottom w:val="none" w:sz="0" w:space="0" w:color="auto"/>
        <w:right w:val="none" w:sz="0" w:space="0" w:color="auto"/>
      </w:divBdr>
    </w:div>
    <w:div w:id="1961955974">
      <w:bodyDiv w:val="1"/>
      <w:marLeft w:val="0"/>
      <w:marRight w:val="0"/>
      <w:marTop w:val="0"/>
      <w:marBottom w:val="0"/>
      <w:divBdr>
        <w:top w:val="none" w:sz="0" w:space="0" w:color="auto"/>
        <w:left w:val="none" w:sz="0" w:space="0" w:color="auto"/>
        <w:bottom w:val="none" w:sz="0" w:space="0" w:color="auto"/>
        <w:right w:val="none" w:sz="0" w:space="0" w:color="auto"/>
      </w:divBdr>
    </w:div>
    <w:div w:id="2034721153">
      <w:bodyDiv w:val="1"/>
      <w:marLeft w:val="0"/>
      <w:marRight w:val="0"/>
      <w:marTop w:val="0"/>
      <w:marBottom w:val="0"/>
      <w:divBdr>
        <w:top w:val="none" w:sz="0" w:space="0" w:color="auto"/>
        <w:left w:val="none" w:sz="0" w:space="0" w:color="auto"/>
        <w:bottom w:val="none" w:sz="0" w:space="0" w:color="auto"/>
        <w:right w:val="none" w:sz="0" w:space="0" w:color="auto"/>
      </w:divBdr>
    </w:div>
    <w:div w:id="20469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a.org/rate-alerts" TargetMode="External"/><Relationship Id="rId13" Type="http://schemas.openxmlformats.org/officeDocument/2006/relationships/hyperlink" Target="https://iurc.portal.in.gov/legal-case-details/?id=ea9d2aad-4cc6-e811-814b-1458d04eb81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urc.portal.in.gov/legal-case-details/?id=18042a1c-8ecc-e811-814b-1458d04eb810" TargetMode="External"/><Relationship Id="rId17" Type="http://schemas.openxmlformats.org/officeDocument/2006/relationships/hyperlink" Target="http://www.aga.org" TargetMode="External"/><Relationship Id="rId2" Type="http://schemas.openxmlformats.org/officeDocument/2006/relationships/numbering" Target="numbering.xml"/><Relationship Id="rId16" Type="http://schemas.openxmlformats.org/officeDocument/2006/relationships/hyperlink" Target="https://psc.ky.gov/order_vault/Orders_2019/201800261_032720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ervice.eea.comacloud.net/FileService.Api/file/FileRoom/10286946" TargetMode="External"/><Relationship Id="rId5" Type="http://schemas.openxmlformats.org/officeDocument/2006/relationships/webSettings" Target="webSettings.xml"/><Relationship Id="rId15" Type="http://schemas.openxmlformats.org/officeDocument/2006/relationships/hyperlink" Target="https://www.utc.wa.gov/docs/Pages/DocketLookup.aspx" TargetMode="External"/><Relationship Id="rId10" Type="http://schemas.openxmlformats.org/officeDocument/2006/relationships/hyperlink" Target="http://imaging.occeweb.com/AP/Orders/occ301848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sc.state.md.us/search-results/?keyword=9484&amp;x.x=21&amp;x.y=8&amp;search=all&amp;search=case" TargetMode="External"/><Relationship Id="rId14" Type="http://schemas.openxmlformats.org/officeDocument/2006/relationships/hyperlink" Target="http://estar.kcc.ks.gov/estar/portal/kscc/PSC/DocketDetails.aspx?DocketId=453a43c8-99ac-4d7f-a07c-6f5b7d8fa5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9562-6427-4A1C-9F83-5BE79D0ED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3430</Words>
  <Characters>19554</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Zuretti</dc:creator>
  <cp:keywords/>
  <dc:description/>
  <cp:lastModifiedBy>Couch, Mary Claire</cp:lastModifiedBy>
  <cp:revision>2</cp:revision>
  <cp:lastPrinted>2018-04-11T13:26:00Z</cp:lastPrinted>
  <dcterms:created xsi:type="dcterms:W3CDTF">2019-06-26T15:27:00Z</dcterms:created>
  <dcterms:modified xsi:type="dcterms:W3CDTF">2019-06-26T15:27:00Z</dcterms:modified>
</cp:coreProperties>
</file>