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94ECD" w14:textId="77777777" w:rsidR="00DB1A39" w:rsidRPr="001F5597" w:rsidRDefault="00DB1A39" w:rsidP="006C3E85">
      <w:pPr>
        <w:spacing w:line="240" w:lineRule="auto"/>
        <w:contextualSpacing/>
        <w:rPr>
          <w:rFonts w:ascii="Arial" w:hAnsi="Arial" w:cs="Arial"/>
          <w:b/>
          <w:sz w:val="36"/>
          <w:szCs w:val="36"/>
        </w:rPr>
      </w:pPr>
      <w:bookmarkStart w:id="0" w:name="_GoBack"/>
      <w:bookmarkEnd w:id="0"/>
      <w:r w:rsidRPr="001F5597">
        <w:rPr>
          <w:rFonts w:ascii="Arial" w:hAnsi="Arial" w:cs="Arial"/>
          <w:b/>
          <w:sz w:val="36"/>
          <w:szCs w:val="36"/>
        </w:rPr>
        <w:t>A Summary of State Rate &amp; Regulatory Activity</w:t>
      </w:r>
    </w:p>
    <w:p w14:paraId="09C0F102" w14:textId="77777777" w:rsidR="00DB1A39" w:rsidRPr="00B51D1F" w:rsidRDefault="00DB1A39" w:rsidP="006C3E85">
      <w:pPr>
        <w:spacing w:line="240" w:lineRule="auto"/>
        <w:contextualSpacing/>
        <w:rPr>
          <w:rFonts w:ascii="Arial" w:hAnsi="Arial" w:cs="Arial"/>
          <w:b/>
          <w:i/>
          <w:sz w:val="16"/>
          <w:szCs w:val="16"/>
        </w:rPr>
      </w:pPr>
      <w:r w:rsidRPr="00B51D1F">
        <w:rPr>
          <w:rFonts w:ascii="Arial" w:hAnsi="Arial" w:cs="Arial"/>
          <w:b/>
          <w:i/>
          <w:sz w:val="16"/>
          <w:szCs w:val="16"/>
        </w:rPr>
        <w:t>A Publication for AGA Members</w:t>
      </w:r>
    </w:p>
    <w:p w14:paraId="49EA87BB" w14:textId="77777777" w:rsidR="00DB1A39" w:rsidRPr="00B51D1F" w:rsidRDefault="00DB1A39" w:rsidP="004A4C05">
      <w:pPr>
        <w:spacing w:line="240" w:lineRule="auto"/>
        <w:contextualSpacing/>
        <w:rPr>
          <w:rFonts w:ascii="Arial" w:hAnsi="Arial" w:cs="Arial"/>
          <w:i/>
        </w:rPr>
      </w:pPr>
      <w:r w:rsidRPr="00B51D1F">
        <w:rPr>
          <w:rFonts w:ascii="Arial" w:hAnsi="Arial" w:cs="Arial"/>
          <w:i/>
        </w:rPr>
        <w:t>This document is intended to provide AGA members with a summary of information relative to state rate and regulatory proceedings and other related matters on a timely basis.  Additional information and archived versions of the Rate &amp; Regulatory Update can be found at the following web link:</w:t>
      </w:r>
      <w:r w:rsidR="001F5597">
        <w:rPr>
          <w:rFonts w:ascii="Arial" w:hAnsi="Arial" w:cs="Arial"/>
          <w:i/>
        </w:rPr>
        <w:t xml:space="preserve"> </w:t>
      </w:r>
      <w:hyperlink r:id="rId11" w:history="1">
        <w:r w:rsidRPr="00B51D1F">
          <w:rPr>
            <w:rStyle w:val="Hyperlink"/>
            <w:rFonts w:ascii="Arial" w:hAnsi="Arial" w:cs="Arial"/>
            <w:i/>
          </w:rPr>
          <w:t>https://www.aga.org/rate-alerts</w:t>
        </w:r>
      </w:hyperlink>
      <w:r w:rsidRPr="00B51D1F">
        <w:rPr>
          <w:rFonts w:ascii="Arial" w:hAnsi="Arial" w:cs="Arial"/>
          <w:i/>
        </w:rPr>
        <w:t xml:space="preserve"> </w:t>
      </w:r>
    </w:p>
    <w:p w14:paraId="4565FF01" w14:textId="77777777" w:rsidR="008A2C67" w:rsidRPr="00B51D1F" w:rsidRDefault="008A2C67" w:rsidP="004A4C05">
      <w:pPr>
        <w:spacing w:line="240" w:lineRule="auto"/>
        <w:contextualSpacing/>
        <w:rPr>
          <w:rFonts w:ascii="Arial" w:hAnsi="Arial" w:cs="Arial"/>
          <w:i/>
        </w:rPr>
      </w:pPr>
    </w:p>
    <w:tbl>
      <w:tblPr>
        <w:tblStyle w:val="TableGrid"/>
        <w:tblW w:w="8815" w:type="dxa"/>
        <w:tblLook w:val="04A0" w:firstRow="1" w:lastRow="0" w:firstColumn="1" w:lastColumn="0" w:noHBand="0" w:noVBand="1"/>
      </w:tblPr>
      <w:tblGrid>
        <w:gridCol w:w="2111"/>
        <w:gridCol w:w="6704"/>
      </w:tblGrid>
      <w:tr w:rsidR="00EE50B3" w:rsidRPr="00B51D1F" w14:paraId="672BBED0" w14:textId="77777777" w:rsidTr="00956DEC">
        <w:trPr>
          <w:trHeight w:val="279"/>
        </w:trPr>
        <w:tc>
          <w:tcPr>
            <w:tcW w:w="8815" w:type="dxa"/>
            <w:gridSpan w:val="2"/>
            <w:shd w:val="clear" w:color="auto" w:fill="1F4E79" w:themeFill="accent1" w:themeFillShade="80"/>
          </w:tcPr>
          <w:p w14:paraId="74F49CAE" w14:textId="77777777" w:rsidR="00EE50B3" w:rsidRPr="001F5597" w:rsidRDefault="00EE50B3" w:rsidP="00684717">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t>Rate Case Data</w:t>
            </w:r>
            <w:r w:rsidR="00DE3CEE" w:rsidRPr="001F5597">
              <w:rPr>
                <w:rFonts w:ascii="Arial" w:hAnsi="Arial" w:cs="Arial"/>
                <w:b/>
                <w:color w:val="FFFFFF" w:themeColor="background1"/>
                <w:sz w:val="36"/>
                <w:szCs w:val="36"/>
              </w:rPr>
              <w:t xml:space="preserve"> for t</w:t>
            </w:r>
            <w:r w:rsidRPr="001F5597">
              <w:rPr>
                <w:rFonts w:ascii="Arial" w:hAnsi="Arial" w:cs="Arial"/>
                <w:b/>
                <w:color w:val="FFFFFF" w:themeColor="background1"/>
                <w:sz w:val="36"/>
                <w:szCs w:val="36"/>
              </w:rPr>
              <w:t>his Period</w:t>
            </w:r>
          </w:p>
        </w:tc>
      </w:tr>
      <w:tr w:rsidR="00EE50B3" w:rsidRPr="00B51D1F" w14:paraId="17D4B0F1" w14:textId="77777777" w:rsidTr="00956DEC">
        <w:trPr>
          <w:trHeight w:val="279"/>
        </w:trPr>
        <w:tc>
          <w:tcPr>
            <w:tcW w:w="2111" w:type="dxa"/>
            <w:shd w:val="clear" w:color="auto" w:fill="1F4E79" w:themeFill="accent1" w:themeFillShade="80"/>
          </w:tcPr>
          <w:p w14:paraId="1444184B" w14:textId="77777777"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Orders Issued</w:t>
            </w:r>
          </w:p>
        </w:tc>
        <w:tc>
          <w:tcPr>
            <w:tcW w:w="6704" w:type="dxa"/>
            <w:tcBorders>
              <w:bottom w:val="single" w:sz="4" w:space="0" w:color="auto"/>
            </w:tcBorders>
            <w:shd w:val="clear" w:color="auto" w:fill="auto"/>
          </w:tcPr>
          <w:p w14:paraId="1364A9D9" w14:textId="7AFC38A3" w:rsidR="00EE50B3" w:rsidRPr="00B51D1F" w:rsidRDefault="00BA2A21" w:rsidP="000C1B88">
            <w:pPr>
              <w:tabs>
                <w:tab w:val="left" w:pos="780"/>
              </w:tabs>
              <w:rPr>
                <w:rFonts w:ascii="Arial" w:hAnsi="Arial" w:cs="Arial"/>
              </w:rPr>
            </w:pPr>
            <w:r>
              <w:rPr>
                <w:rFonts w:ascii="Arial" w:hAnsi="Arial" w:cs="Arial"/>
              </w:rPr>
              <w:t>11</w:t>
            </w:r>
          </w:p>
        </w:tc>
      </w:tr>
      <w:tr w:rsidR="00EE50B3" w:rsidRPr="00B51D1F" w14:paraId="24711B45" w14:textId="77777777" w:rsidTr="00956DEC">
        <w:trPr>
          <w:trHeight w:val="279"/>
        </w:trPr>
        <w:tc>
          <w:tcPr>
            <w:tcW w:w="2111" w:type="dxa"/>
            <w:shd w:val="clear" w:color="auto" w:fill="1F4E79" w:themeFill="accent1" w:themeFillShade="80"/>
          </w:tcPr>
          <w:p w14:paraId="5594CF7D" w14:textId="77777777"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Average ROE</w:t>
            </w:r>
            <w:r w:rsidR="002B206B" w:rsidRPr="00B51D1F">
              <w:rPr>
                <w:rFonts w:ascii="Arial" w:hAnsi="Arial" w:cs="Arial"/>
                <w:b/>
                <w:color w:val="FFFFFF" w:themeColor="background1"/>
              </w:rPr>
              <w:t xml:space="preserve"> </w:t>
            </w:r>
          </w:p>
        </w:tc>
        <w:tc>
          <w:tcPr>
            <w:tcW w:w="6704" w:type="dxa"/>
            <w:shd w:val="clear" w:color="auto" w:fill="auto"/>
          </w:tcPr>
          <w:p w14:paraId="48E8C241" w14:textId="3E65C950" w:rsidR="00EE50B3" w:rsidRPr="00B51D1F" w:rsidRDefault="00250761" w:rsidP="00E8069C">
            <w:pPr>
              <w:rPr>
                <w:rFonts w:ascii="Arial" w:hAnsi="Arial" w:cs="Arial"/>
              </w:rPr>
            </w:pPr>
            <w:r>
              <w:rPr>
                <w:rFonts w:ascii="Arial" w:hAnsi="Arial" w:cs="Arial"/>
              </w:rPr>
              <w:t>9.</w:t>
            </w:r>
            <w:r w:rsidR="00287A54">
              <w:rPr>
                <w:rFonts w:ascii="Arial" w:hAnsi="Arial" w:cs="Arial"/>
              </w:rPr>
              <w:t>50</w:t>
            </w:r>
            <w:r>
              <w:rPr>
                <w:rFonts w:ascii="Arial" w:hAnsi="Arial" w:cs="Arial"/>
              </w:rPr>
              <w:t>%</w:t>
            </w:r>
          </w:p>
        </w:tc>
      </w:tr>
      <w:tr w:rsidR="006B0973" w:rsidRPr="00B51D1F" w14:paraId="241214A1" w14:textId="77777777" w:rsidTr="00956DEC">
        <w:trPr>
          <w:trHeight w:val="279"/>
        </w:trPr>
        <w:tc>
          <w:tcPr>
            <w:tcW w:w="8815" w:type="dxa"/>
            <w:gridSpan w:val="2"/>
            <w:tcBorders>
              <w:bottom w:val="single" w:sz="4" w:space="0" w:color="auto"/>
            </w:tcBorders>
            <w:shd w:val="clear" w:color="auto" w:fill="1F4E79" w:themeFill="accent1" w:themeFillShade="80"/>
          </w:tcPr>
          <w:p w14:paraId="222FEFDF" w14:textId="77777777" w:rsidR="006B0973" w:rsidRPr="00B51D1F" w:rsidRDefault="006B0973" w:rsidP="007E1100">
            <w:pPr>
              <w:rPr>
                <w:rFonts w:ascii="Arial" w:hAnsi="Arial" w:cs="Arial"/>
                <w:b/>
              </w:rPr>
            </w:pPr>
            <w:r w:rsidRPr="00B51D1F">
              <w:rPr>
                <w:rFonts w:ascii="Arial" w:hAnsi="Arial" w:cs="Arial"/>
                <w:b/>
                <w:color w:val="FFFFFF" w:themeColor="background1"/>
              </w:rPr>
              <w:t>Trends and Analysis</w:t>
            </w:r>
          </w:p>
        </w:tc>
      </w:tr>
      <w:tr w:rsidR="006B0973" w:rsidRPr="00B51D1F" w14:paraId="7F48CBFF" w14:textId="77777777" w:rsidTr="00956DEC">
        <w:trPr>
          <w:trHeight w:val="800"/>
        </w:trPr>
        <w:tc>
          <w:tcPr>
            <w:tcW w:w="8815" w:type="dxa"/>
            <w:gridSpan w:val="2"/>
            <w:tcBorders>
              <w:bottom w:val="single" w:sz="4" w:space="0" w:color="auto"/>
            </w:tcBorders>
            <w:shd w:val="clear" w:color="auto" w:fill="auto"/>
          </w:tcPr>
          <w:p w14:paraId="64AE3D6D" w14:textId="7ED96419" w:rsidR="00244BAD" w:rsidRDefault="00244BAD" w:rsidP="00244BAD">
            <w:pPr>
              <w:tabs>
                <w:tab w:val="left" w:pos="3285"/>
              </w:tabs>
              <w:rPr>
                <w:rFonts w:ascii="Arial" w:hAnsi="Arial" w:cs="Arial"/>
              </w:rPr>
            </w:pPr>
            <w:r w:rsidRPr="00244BAD">
              <w:rPr>
                <w:rFonts w:ascii="Arial" w:hAnsi="Arial" w:cs="Arial"/>
              </w:rPr>
              <w:t xml:space="preserve">The average </w:t>
            </w:r>
            <w:r w:rsidR="0096277D">
              <w:rPr>
                <w:rFonts w:ascii="Arial" w:hAnsi="Arial" w:cs="Arial"/>
              </w:rPr>
              <w:t xml:space="preserve">authorized </w:t>
            </w:r>
            <w:r w:rsidRPr="00244BAD">
              <w:rPr>
                <w:rFonts w:ascii="Arial" w:hAnsi="Arial" w:cs="Arial"/>
              </w:rPr>
              <w:t xml:space="preserve">ROE </w:t>
            </w:r>
            <w:r w:rsidR="0096277D">
              <w:rPr>
                <w:rFonts w:ascii="Arial" w:hAnsi="Arial" w:cs="Arial"/>
              </w:rPr>
              <w:t xml:space="preserve">for </w:t>
            </w:r>
            <w:r w:rsidRPr="00244BAD">
              <w:rPr>
                <w:rFonts w:ascii="Arial" w:hAnsi="Arial" w:cs="Arial"/>
              </w:rPr>
              <w:t>gas utilities was 9.</w:t>
            </w:r>
            <w:r w:rsidR="00287A54">
              <w:rPr>
                <w:rFonts w:ascii="Arial" w:hAnsi="Arial" w:cs="Arial"/>
              </w:rPr>
              <w:t>50</w:t>
            </w:r>
            <w:r w:rsidRPr="00244BAD">
              <w:rPr>
                <w:rFonts w:ascii="Arial" w:hAnsi="Arial" w:cs="Arial"/>
              </w:rPr>
              <w:t xml:space="preserve">% in the </w:t>
            </w:r>
            <w:r w:rsidR="00D8552D">
              <w:rPr>
                <w:rFonts w:ascii="Arial" w:hAnsi="Arial" w:cs="Arial"/>
              </w:rPr>
              <w:t>f</w:t>
            </w:r>
            <w:r w:rsidR="005B1672">
              <w:rPr>
                <w:rFonts w:ascii="Arial" w:hAnsi="Arial" w:cs="Arial"/>
              </w:rPr>
              <w:t>irst</w:t>
            </w:r>
            <w:r w:rsidRPr="00244BAD">
              <w:rPr>
                <w:rFonts w:ascii="Arial" w:hAnsi="Arial" w:cs="Arial"/>
              </w:rPr>
              <w:t xml:space="preserve"> quarter of 20</w:t>
            </w:r>
            <w:r w:rsidR="005B1672">
              <w:rPr>
                <w:rFonts w:ascii="Arial" w:hAnsi="Arial" w:cs="Arial"/>
              </w:rPr>
              <w:t>20</w:t>
            </w:r>
            <w:r w:rsidRPr="00244BAD">
              <w:rPr>
                <w:rFonts w:ascii="Arial" w:hAnsi="Arial" w:cs="Arial"/>
              </w:rPr>
              <w:t xml:space="preserve"> compared to 9.</w:t>
            </w:r>
            <w:r w:rsidR="00BA2A21">
              <w:rPr>
                <w:rFonts w:ascii="Arial" w:hAnsi="Arial" w:cs="Arial"/>
              </w:rPr>
              <w:t>73</w:t>
            </w:r>
            <w:r w:rsidRPr="00244BAD">
              <w:rPr>
                <w:rFonts w:ascii="Arial" w:hAnsi="Arial" w:cs="Arial"/>
              </w:rPr>
              <w:t xml:space="preserve">% in </w:t>
            </w:r>
            <w:r>
              <w:rPr>
                <w:rFonts w:ascii="Arial" w:hAnsi="Arial" w:cs="Arial"/>
              </w:rPr>
              <w:t xml:space="preserve">the </w:t>
            </w:r>
            <w:r w:rsidR="005B1672">
              <w:rPr>
                <w:rFonts w:ascii="Arial" w:hAnsi="Arial" w:cs="Arial"/>
              </w:rPr>
              <w:t>fourth</w:t>
            </w:r>
            <w:r w:rsidRPr="00244BAD">
              <w:rPr>
                <w:rFonts w:ascii="Arial" w:hAnsi="Arial" w:cs="Arial"/>
              </w:rPr>
              <w:t xml:space="preserve"> </w:t>
            </w:r>
            <w:r>
              <w:rPr>
                <w:rFonts w:ascii="Arial" w:hAnsi="Arial" w:cs="Arial"/>
              </w:rPr>
              <w:t>quarter</w:t>
            </w:r>
            <w:r w:rsidR="005B1672">
              <w:rPr>
                <w:rFonts w:ascii="Arial" w:hAnsi="Arial" w:cs="Arial"/>
              </w:rPr>
              <w:t xml:space="preserve"> of 2019</w:t>
            </w:r>
            <w:r w:rsidRPr="00244BAD">
              <w:rPr>
                <w:rFonts w:ascii="Arial" w:hAnsi="Arial" w:cs="Arial"/>
              </w:rPr>
              <w:t>.</w:t>
            </w:r>
            <w:r>
              <w:rPr>
                <w:rFonts w:ascii="Arial" w:hAnsi="Arial" w:cs="Arial"/>
              </w:rPr>
              <w:t xml:space="preserve"> </w:t>
            </w:r>
            <w:r w:rsidR="00B12EE6" w:rsidRPr="00B12EE6">
              <w:rPr>
                <w:rFonts w:ascii="Arial" w:hAnsi="Arial" w:cs="Arial"/>
              </w:rPr>
              <w:t xml:space="preserve">The average </w:t>
            </w:r>
            <w:r w:rsidR="0096277D">
              <w:rPr>
                <w:rFonts w:ascii="Arial" w:hAnsi="Arial" w:cs="Arial"/>
              </w:rPr>
              <w:t xml:space="preserve">authorized </w:t>
            </w:r>
            <w:r w:rsidR="00B12EE6" w:rsidRPr="00B12EE6">
              <w:rPr>
                <w:rFonts w:ascii="Arial" w:hAnsi="Arial" w:cs="Arial"/>
              </w:rPr>
              <w:t xml:space="preserve">ROE </w:t>
            </w:r>
            <w:r w:rsidR="009863F7">
              <w:rPr>
                <w:rFonts w:ascii="Arial" w:hAnsi="Arial" w:cs="Arial"/>
              </w:rPr>
              <w:t xml:space="preserve">for </w:t>
            </w:r>
            <w:r w:rsidR="00B12EE6" w:rsidRPr="00B12EE6">
              <w:rPr>
                <w:rFonts w:ascii="Arial" w:hAnsi="Arial" w:cs="Arial"/>
              </w:rPr>
              <w:t>gas utilities was 9.</w:t>
            </w:r>
            <w:r w:rsidR="006D148F">
              <w:rPr>
                <w:rFonts w:ascii="Arial" w:hAnsi="Arial" w:cs="Arial"/>
              </w:rPr>
              <w:t>71</w:t>
            </w:r>
            <w:r w:rsidR="00B12EE6" w:rsidRPr="00B12EE6">
              <w:rPr>
                <w:rFonts w:ascii="Arial" w:hAnsi="Arial" w:cs="Arial"/>
              </w:rPr>
              <w:t>% in cases decided during 2019, above the 9.59% in full-year 2018. T</w:t>
            </w:r>
            <w:r w:rsidR="00D8552D">
              <w:rPr>
                <w:rFonts w:ascii="Arial" w:hAnsi="Arial" w:cs="Arial"/>
              </w:rPr>
              <w:t>hirty-two</w:t>
            </w:r>
            <w:r w:rsidR="00B12EE6" w:rsidRPr="00B12EE6">
              <w:rPr>
                <w:rFonts w:ascii="Arial" w:hAnsi="Arial" w:cs="Arial"/>
              </w:rPr>
              <w:t xml:space="preserve"> gas cases included </w:t>
            </w:r>
            <w:proofErr w:type="gramStart"/>
            <w:r w:rsidR="00B12EE6" w:rsidRPr="00B12EE6">
              <w:rPr>
                <w:rFonts w:ascii="Arial" w:hAnsi="Arial" w:cs="Arial"/>
              </w:rPr>
              <w:t>an</w:t>
            </w:r>
            <w:proofErr w:type="gramEnd"/>
            <w:r w:rsidR="00B12EE6" w:rsidRPr="00B12EE6">
              <w:rPr>
                <w:rFonts w:ascii="Arial" w:hAnsi="Arial" w:cs="Arial"/>
              </w:rPr>
              <w:t xml:space="preserve"> ROE determination in 2019, versus 40 in 2018.</w:t>
            </w:r>
            <w:r w:rsidR="00B12EE6" w:rsidRPr="00B12EE6">
              <w:t xml:space="preserve"> </w:t>
            </w:r>
            <w:r w:rsidR="006D148F">
              <w:rPr>
                <w:rFonts w:ascii="Arial" w:hAnsi="Arial" w:cs="Arial"/>
              </w:rPr>
              <w:t>Many of</w:t>
            </w:r>
            <w:r w:rsidR="00D8552D">
              <w:rPr>
                <w:rFonts w:ascii="Arial" w:hAnsi="Arial" w:cs="Arial"/>
              </w:rPr>
              <w:t xml:space="preserve"> those determinations occurred in the final quarter</w:t>
            </w:r>
            <w:r w:rsidR="00452B88">
              <w:rPr>
                <w:rFonts w:ascii="Arial" w:hAnsi="Arial" w:cs="Arial"/>
              </w:rPr>
              <w:t xml:space="preserve"> of both years</w:t>
            </w:r>
            <w:r w:rsidR="00D8552D">
              <w:rPr>
                <w:rFonts w:ascii="Arial" w:hAnsi="Arial" w:cs="Arial"/>
              </w:rPr>
              <w:t>.</w:t>
            </w:r>
          </w:p>
          <w:p w14:paraId="0B776FBE" w14:textId="77777777" w:rsidR="00D8552D" w:rsidRDefault="00D8552D" w:rsidP="00244BAD">
            <w:pPr>
              <w:tabs>
                <w:tab w:val="left" w:pos="3285"/>
              </w:tabs>
              <w:rPr>
                <w:rFonts w:ascii="Arial" w:hAnsi="Arial" w:cs="Arial"/>
              </w:rPr>
            </w:pPr>
          </w:p>
          <w:p w14:paraId="53192444" w14:textId="77777777" w:rsidR="005B214D" w:rsidRDefault="00D8552D" w:rsidP="006D148F">
            <w:pPr>
              <w:tabs>
                <w:tab w:val="left" w:pos="3285"/>
              </w:tabs>
              <w:rPr>
                <w:rFonts w:ascii="Arial" w:hAnsi="Arial" w:cs="Arial"/>
              </w:rPr>
            </w:pPr>
            <w:r w:rsidRPr="00D8552D">
              <w:rPr>
                <w:rFonts w:ascii="Arial" w:hAnsi="Arial" w:cs="Arial"/>
              </w:rPr>
              <w:t xml:space="preserve">Requested and authorized ROEs have generally trended downward over the past several years. For all cases that </w:t>
            </w:r>
            <w:r w:rsidR="004C078B">
              <w:rPr>
                <w:rFonts w:ascii="Arial" w:hAnsi="Arial" w:cs="Arial"/>
              </w:rPr>
              <w:t>are pending thus far in 2020</w:t>
            </w:r>
            <w:r w:rsidRPr="00D8552D">
              <w:rPr>
                <w:rFonts w:ascii="Arial" w:hAnsi="Arial" w:cs="Arial"/>
              </w:rPr>
              <w:t>, the average requested ROE was 10.</w:t>
            </w:r>
            <w:r w:rsidR="004C078B">
              <w:rPr>
                <w:rFonts w:ascii="Arial" w:hAnsi="Arial" w:cs="Arial"/>
              </w:rPr>
              <w:t>25</w:t>
            </w:r>
            <w:r w:rsidRPr="00D8552D">
              <w:rPr>
                <w:rFonts w:ascii="Arial" w:hAnsi="Arial" w:cs="Arial"/>
              </w:rPr>
              <w:t>% for gas companies versus 12.4% in 2000.</w:t>
            </w:r>
            <w:r w:rsidR="004F4F92">
              <w:rPr>
                <w:rFonts w:ascii="Arial" w:hAnsi="Arial" w:cs="Arial"/>
              </w:rPr>
              <w:t xml:space="preserve"> </w:t>
            </w:r>
          </w:p>
          <w:p w14:paraId="09394191" w14:textId="77777777" w:rsidR="005B214D" w:rsidRDefault="005B214D" w:rsidP="006D148F">
            <w:pPr>
              <w:tabs>
                <w:tab w:val="left" w:pos="3285"/>
              </w:tabs>
              <w:rPr>
                <w:rFonts w:ascii="Arial" w:hAnsi="Arial" w:cs="Arial"/>
              </w:rPr>
            </w:pPr>
          </w:p>
          <w:p w14:paraId="561742B6" w14:textId="7B01B402" w:rsidR="007D4A54" w:rsidRDefault="00103470" w:rsidP="006D148F">
            <w:pPr>
              <w:tabs>
                <w:tab w:val="left" w:pos="3285"/>
              </w:tabs>
              <w:rPr>
                <w:rFonts w:ascii="Arial" w:hAnsi="Arial" w:cs="Arial"/>
              </w:rPr>
            </w:pPr>
            <w:r>
              <w:rPr>
                <w:rFonts w:ascii="Arial" w:hAnsi="Arial" w:cs="Arial"/>
              </w:rPr>
              <w:t>T</w:t>
            </w:r>
            <w:r w:rsidR="007D4A54" w:rsidRPr="007D4A54">
              <w:rPr>
                <w:rFonts w:ascii="Arial" w:hAnsi="Arial" w:cs="Arial"/>
              </w:rPr>
              <w:t xml:space="preserve">he highest ROE requested in a </w:t>
            </w:r>
            <w:r>
              <w:rPr>
                <w:rFonts w:ascii="Arial" w:hAnsi="Arial" w:cs="Arial"/>
              </w:rPr>
              <w:t xml:space="preserve">pending gas utility </w:t>
            </w:r>
            <w:r w:rsidR="007D4A54" w:rsidRPr="007D4A54">
              <w:rPr>
                <w:rFonts w:ascii="Arial" w:hAnsi="Arial" w:cs="Arial"/>
              </w:rPr>
              <w:t>base rate case is 10.95%, sought by UGI Corp. subsidiary UGI Utilities Inc. UGI’s proposed 10.95% ROE includes a 20 basis point upward adjustment “to reflect superior management performance” for efforts pertaining to infrastructure and safety investments, excellent customer service, IT modernization, environmental and social governance, and community engagement. The lowest ROE requested in a gas base rate case is 9.5% for NYSEG and RG&amp;E. New York PSC staff ha</w:t>
            </w:r>
            <w:r w:rsidR="00F8728F">
              <w:rPr>
                <w:rFonts w:ascii="Arial" w:hAnsi="Arial" w:cs="Arial"/>
              </w:rPr>
              <w:t>d previously</w:t>
            </w:r>
            <w:r w:rsidR="007D4A54" w:rsidRPr="007D4A54">
              <w:rPr>
                <w:rFonts w:ascii="Arial" w:hAnsi="Arial" w:cs="Arial"/>
              </w:rPr>
              <w:t xml:space="preserve"> recommended an 8.2% ROE for the utilities’ electric and gas operations.</w:t>
            </w:r>
          </w:p>
          <w:p w14:paraId="2E4B341C" w14:textId="161AF436" w:rsidR="004E5401" w:rsidRDefault="004E5401" w:rsidP="006D148F">
            <w:pPr>
              <w:tabs>
                <w:tab w:val="left" w:pos="3285"/>
              </w:tabs>
              <w:rPr>
                <w:rFonts w:ascii="Arial" w:hAnsi="Arial" w:cs="Arial"/>
              </w:rPr>
            </w:pPr>
          </w:p>
          <w:p w14:paraId="23176D86" w14:textId="24F2E8B8" w:rsidR="004E5401" w:rsidRDefault="004E5401" w:rsidP="006D148F">
            <w:pPr>
              <w:tabs>
                <w:tab w:val="left" w:pos="3285"/>
              </w:tabs>
              <w:rPr>
                <w:rFonts w:ascii="Arial" w:hAnsi="Arial" w:cs="Arial"/>
                <w:b/>
                <w:bCs/>
                <w:u w:val="single"/>
              </w:rPr>
            </w:pPr>
            <w:r w:rsidRPr="00110B38">
              <w:rPr>
                <w:rFonts w:ascii="Arial" w:hAnsi="Arial" w:cs="Arial"/>
                <w:b/>
                <w:bCs/>
                <w:u w:val="single"/>
              </w:rPr>
              <w:t>COVID-19</w:t>
            </w:r>
          </w:p>
          <w:p w14:paraId="15D6B237" w14:textId="687F9383" w:rsidR="00110B38" w:rsidRDefault="00110B38" w:rsidP="006D148F">
            <w:pPr>
              <w:tabs>
                <w:tab w:val="left" w:pos="3285"/>
              </w:tabs>
              <w:rPr>
                <w:rFonts w:ascii="Arial" w:hAnsi="Arial" w:cs="Arial"/>
                <w:b/>
                <w:bCs/>
                <w:u w:val="single"/>
              </w:rPr>
            </w:pPr>
          </w:p>
          <w:p w14:paraId="17DF0AC9" w14:textId="787B28BD" w:rsidR="00110B38" w:rsidRDefault="00110B38" w:rsidP="006D148F">
            <w:pPr>
              <w:tabs>
                <w:tab w:val="left" w:pos="3285"/>
              </w:tabs>
              <w:rPr>
                <w:rFonts w:ascii="Arial" w:hAnsi="Arial" w:cs="Arial"/>
              </w:rPr>
            </w:pPr>
            <w:r w:rsidRPr="00110B38">
              <w:rPr>
                <w:rFonts w:ascii="Arial" w:hAnsi="Arial" w:cs="Arial"/>
              </w:rPr>
              <w:t>The coronavirus outbreak presents challenges for U.S. utilities on several fronts</w:t>
            </w:r>
            <w:r w:rsidR="00A24A1C">
              <w:rPr>
                <w:rFonts w:ascii="Arial" w:hAnsi="Arial" w:cs="Arial"/>
              </w:rPr>
              <w:t>,</w:t>
            </w:r>
            <w:r w:rsidRPr="00110B38">
              <w:rPr>
                <w:rFonts w:ascii="Arial" w:hAnsi="Arial" w:cs="Arial"/>
              </w:rPr>
              <w:t xml:space="preserve"> including</w:t>
            </w:r>
            <w:r w:rsidR="00A24A1C">
              <w:rPr>
                <w:rFonts w:ascii="Arial" w:hAnsi="Arial" w:cs="Arial"/>
              </w:rPr>
              <w:t>,</w:t>
            </w:r>
            <w:r w:rsidRPr="00110B38">
              <w:rPr>
                <w:rFonts w:ascii="Arial" w:hAnsi="Arial" w:cs="Arial"/>
              </w:rPr>
              <w:t xml:space="preserve"> but not limited to, expected reductions in usage as businesses, schools and government buildings remain shuttered, lower revenues due to a higher anticipated occurrence of bad</w:t>
            </w:r>
            <w:r w:rsidR="009D4C26">
              <w:rPr>
                <w:rFonts w:ascii="Arial" w:hAnsi="Arial" w:cs="Arial"/>
              </w:rPr>
              <w:t xml:space="preserve"> </w:t>
            </w:r>
            <w:r w:rsidRPr="00110B38">
              <w:rPr>
                <w:rFonts w:ascii="Arial" w:hAnsi="Arial" w:cs="Arial"/>
              </w:rPr>
              <w:t>debt/</w:t>
            </w:r>
            <w:proofErr w:type="spellStart"/>
            <w:r w:rsidRPr="00110B38">
              <w:rPr>
                <w:rFonts w:ascii="Arial" w:hAnsi="Arial" w:cs="Arial"/>
              </w:rPr>
              <w:t>uncollectibles</w:t>
            </w:r>
            <w:proofErr w:type="spellEnd"/>
            <w:r w:rsidRPr="00110B38">
              <w:rPr>
                <w:rFonts w:ascii="Arial" w:hAnsi="Arial" w:cs="Arial"/>
              </w:rPr>
              <w:t xml:space="preserve"> and increased operating costs associated with enhanced safety measures and maintaining sufficient staffing to ensure safety and reliability of utility service. </w:t>
            </w:r>
          </w:p>
          <w:p w14:paraId="345AD24D" w14:textId="77777777" w:rsidR="00110B38" w:rsidRDefault="00110B38" w:rsidP="006D148F">
            <w:pPr>
              <w:tabs>
                <w:tab w:val="left" w:pos="3285"/>
              </w:tabs>
              <w:rPr>
                <w:rFonts w:ascii="Arial" w:hAnsi="Arial" w:cs="Arial"/>
              </w:rPr>
            </w:pPr>
          </w:p>
          <w:p w14:paraId="014AF6E3" w14:textId="5C1820DB" w:rsidR="00110B38" w:rsidRDefault="00110B38" w:rsidP="006D148F">
            <w:pPr>
              <w:tabs>
                <w:tab w:val="left" w:pos="3285"/>
              </w:tabs>
              <w:rPr>
                <w:rFonts w:ascii="Arial" w:hAnsi="Arial" w:cs="Arial"/>
              </w:rPr>
            </w:pPr>
            <w:r w:rsidRPr="00110B38">
              <w:rPr>
                <w:rFonts w:ascii="Arial" w:hAnsi="Arial" w:cs="Arial"/>
              </w:rPr>
              <w:t>These challenges have the potential to significantly impact the financial performance of the investor-owned utilities, increasing the overall level of investor risk, and will have to be addressed by state regulators. Mechanisms are in place in several states that, all else being equal, could blunt the impact or allow the impacts to be addressed on a more expedited basis</w:t>
            </w:r>
            <w:r w:rsidR="00E141C7">
              <w:rPr>
                <w:rFonts w:ascii="Arial" w:hAnsi="Arial" w:cs="Arial"/>
              </w:rPr>
              <w:t>.</w:t>
            </w:r>
          </w:p>
          <w:p w14:paraId="24B14D7F" w14:textId="40F6D61B" w:rsidR="0003040F" w:rsidRDefault="0003040F" w:rsidP="006D148F">
            <w:pPr>
              <w:tabs>
                <w:tab w:val="left" w:pos="3285"/>
              </w:tabs>
              <w:rPr>
                <w:rFonts w:ascii="Arial" w:hAnsi="Arial" w:cs="Arial"/>
              </w:rPr>
            </w:pPr>
          </w:p>
          <w:p w14:paraId="5880A2E6" w14:textId="64E5993A" w:rsidR="0003040F" w:rsidRDefault="0003040F" w:rsidP="006D148F">
            <w:pPr>
              <w:tabs>
                <w:tab w:val="left" w:pos="3285"/>
              </w:tabs>
              <w:rPr>
                <w:rFonts w:ascii="Arial" w:hAnsi="Arial" w:cs="Arial"/>
              </w:rPr>
            </w:pPr>
            <w:r>
              <w:rPr>
                <w:rFonts w:ascii="Arial" w:hAnsi="Arial" w:cs="Arial"/>
              </w:rPr>
              <w:t>Moody’s analysts</w:t>
            </w:r>
            <w:r w:rsidR="00D5527B">
              <w:rPr>
                <w:rFonts w:ascii="Arial" w:hAnsi="Arial" w:cs="Arial"/>
              </w:rPr>
              <w:t xml:space="preserve"> indicated</w:t>
            </w:r>
            <w:r w:rsidR="009013AD">
              <w:rPr>
                <w:rFonts w:ascii="Arial" w:hAnsi="Arial" w:cs="Arial"/>
              </w:rPr>
              <w:t xml:space="preserve"> the </w:t>
            </w:r>
            <w:r w:rsidR="009013AD" w:rsidRPr="009013AD">
              <w:rPr>
                <w:rFonts w:ascii="Arial" w:hAnsi="Arial" w:cs="Arial"/>
              </w:rPr>
              <w:t>time-intensive proceedings and public hearings are "difficult to process in a remote environment.</w:t>
            </w:r>
            <w:r w:rsidR="009013AD">
              <w:rPr>
                <w:rFonts w:ascii="Arial" w:hAnsi="Arial" w:cs="Arial"/>
              </w:rPr>
              <w:t>”</w:t>
            </w:r>
            <w:r w:rsidR="009013AD" w:rsidRPr="009013AD">
              <w:rPr>
                <w:rFonts w:ascii="Arial" w:hAnsi="Arial" w:cs="Arial"/>
              </w:rPr>
              <w:t xml:space="preserve"> These rate case delays are "a social benefit," and Moody's assumes the pandemic will be contained by the time they restart.</w:t>
            </w:r>
          </w:p>
          <w:p w14:paraId="204661D6" w14:textId="47240AFC" w:rsidR="00E141C7" w:rsidRDefault="00E141C7" w:rsidP="006D148F">
            <w:pPr>
              <w:tabs>
                <w:tab w:val="left" w:pos="3285"/>
              </w:tabs>
              <w:rPr>
                <w:rFonts w:ascii="Arial" w:hAnsi="Arial" w:cs="Arial"/>
              </w:rPr>
            </w:pPr>
          </w:p>
          <w:p w14:paraId="4CC640E2" w14:textId="135ADE4F" w:rsidR="00E141C7" w:rsidRPr="00110B38" w:rsidRDefault="00E141C7" w:rsidP="006D148F">
            <w:pPr>
              <w:tabs>
                <w:tab w:val="left" w:pos="3285"/>
              </w:tabs>
              <w:rPr>
                <w:rFonts w:ascii="Arial" w:hAnsi="Arial" w:cs="Arial"/>
              </w:rPr>
            </w:pPr>
            <w:r>
              <w:rPr>
                <w:rFonts w:ascii="Arial" w:hAnsi="Arial" w:cs="Arial"/>
              </w:rPr>
              <w:t>AGA is actively gathering and publishing information regarding COVID-19 actions a</w:t>
            </w:r>
            <w:r w:rsidR="00FE161E">
              <w:rPr>
                <w:rFonts w:ascii="Arial" w:hAnsi="Arial" w:cs="Arial"/>
              </w:rPr>
              <w:t xml:space="preserve">nd regulatory response on its COVID-19 page, which can be accessed </w:t>
            </w:r>
            <w:hyperlink r:id="rId12" w:history="1">
              <w:r w:rsidR="00FE161E" w:rsidRPr="00C621EC">
                <w:rPr>
                  <w:rStyle w:val="Hyperlink"/>
                  <w:rFonts w:ascii="Arial" w:hAnsi="Arial" w:cs="Arial"/>
                </w:rPr>
                <w:t>here</w:t>
              </w:r>
            </w:hyperlink>
            <w:r w:rsidR="00FE161E">
              <w:rPr>
                <w:rFonts w:ascii="Arial" w:hAnsi="Arial" w:cs="Arial"/>
              </w:rPr>
              <w:t>.</w:t>
            </w:r>
          </w:p>
          <w:p w14:paraId="69EA8C6B" w14:textId="77777777" w:rsidR="00762122" w:rsidRDefault="00762122" w:rsidP="00762122">
            <w:pPr>
              <w:tabs>
                <w:tab w:val="left" w:pos="3285"/>
              </w:tabs>
              <w:rPr>
                <w:rFonts w:ascii="Arial" w:hAnsi="Arial" w:cs="Arial"/>
              </w:rPr>
            </w:pPr>
          </w:p>
          <w:p w14:paraId="09E901EA" w14:textId="77777777" w:rsidR="00711497" w:rsidRDefault="00711497" w:rsidP="00762122">
            <w:pPr>
              <w:tabs>
                <w:tab w:val="left" w:pos="3285"/>
              </w:tabs>
              <w:rPr>
                <w:rFonts w:ascii="Arial" w:hAnsi="Arial" w:cs="Arial"/>
              </w:rPr>
            </w:pPr>
          </w:p>
          <w:p w14:paraId="20B3330A" w14:textId="77777777" w:rsidR="00711497" w:rsidRDefault="00711497" w:rsidP="00762122">
            <w:pPr>
              <w:tabs>
                <w:tab w:val="left" w:pos="3285"/>
              </w:tabs>
              <w:rPr>
                <w:rFonts w:ascii="Arial" w:hAnsi="Arial" w:cs="Arial"/>
              </w:rPr>
            </w:pPr>
          </w:p>
          <w:p w14:paraId="11E62D2F" w14:textId="77777777" w:rsidR="00711497" w:rsidRDefault="00711497" w:rsidP="00762122">
            <w:pPr>
              <w:tabs>
                <w:tab w:val="left" w:pos="3285"/>
              </w:tabs>
              <w:rPr>
                <w:rFonts w:ascii="Arial" w:hAnsi="Arial" w:cs="Arial"/>
              </w:rPr>
            </w:pPr>
          </w:p>
          <w:p w14:paraId="6E40BBBB" w14:textId="77777777" w:rsidR="00711497" w:rsidRDefault="00711497" w:rsidP="00762122">
            <w:pPr>
              <w:tabs>
                <w:tab w:val="left" w:pos="3285"/>
              </w:tabs>
              <w:rPr>
                <w:rFonts w:ascii="Arial" w:hAnsi="Arial" w:cs="Arial"/>
              </w:rPr>
            </w:pPr>
          </w:p>
          <w:p w14:paraId="6CC553CE" w14:textId="77777777" w:rsidR="00711497" w:rsidRDefault="00711497" w:rsidP="00762122">
            <w:pPr>
              <w:tabs>
                <w:tab w:val="left" w:pos="3285"/>
              </w:tabs>
              <w:rPr>
                <w:rFonts w:ascii="Arial" w:hAnsi="Arial" w:cs="Arial"/>
              </w:rPr>
            </w:pPr>
          </w:p>
          <w:p w14:paraId="7E422B7A" w14:textId="77777777" w:rsidR="00711497" w:rsidRDefault="00711497" w:rsidP="00762122">
            <w:pPr>
              <w:tabs>
                <w:tab w:val="left" w:pos="3285"/>
              </w:tabs>
              <w:rPr>
                <w:rFonts w:ascii="Arial" w:hAnsi="Arial" w:cs="Arial"/>
              </w:rPr>
            </w:pPr>
          </w:p>
          <w:p w14:paraId="2CD7DADF" w14:textId="77777777" w:rsidR="00711497" w:rsidRDefault="00711497" w:rsidP="00762122">
            <w:pPr>
              <w:tabs>
                <w:tab w:val="left" w:pos="3285"/>
              </w:tabs>
              <w:rPr>
                <w:rFonts w:ascii="Arial" w:hAnsi="Arial" w:cs="Arial"/>
              </w:rPr>
            </w:pPr>
          </w:p>
          <w:p w14:paraId="0DEE187C" w14:textId="77777777" w:rsidR="00711497" w:rsidRDefault="00711497" w:rsidP="00762122">
            <w:pPr>
              <w:tabs>
                <w:tab w:val="left" w:pos="3285"/>
              </w:tabs>
              <w:rPr>
                <w:rFonts w:ascii="Arial" w:hAnsi="Arial" w:cs="Arial"/>
              </w:rPr>
            </w:pPr>
          </w:p>
          <w:p w14:paraId="3D3AFF4C" w14:textId="77777777" w:rsidR="00711497" w:rsidRDefault="00711497" w:rsidP="00762122">
            <w:pPr>
              <w:tabs>
                <w:tab w:val="left" w:pos="3285"/>
              </w:tabs>
              <w:rPr>
                <w:rFonts w:ascii="Arial" w:hAnsi="Arial" w:cs="Arial"/>
              </w:rPr>
            </w:pPr>
          </w:p>
          <w:p w14:paraId="6BF4A274" w14:textId="77777777" w:rsidR="00711497" w:rsidRDefault="00711497" w:rsidP="00762122">
            <w:pPr>
              <w:tabs>
                <w:tab w:val="left" w:pos="3285"/>
              </w:tabs>
              <w:rPr>
                <w:rFonts w:ascii="Arial" w:hAnsi="Arial" w:cs="Arial"/>
              </w:rPr>
            </w:pPr>
          </w:p>
          <w:p w14:paraId="327CC33D" w14:textId="77777777" w:rsidR="00711497" w:rsidRDefault="00711497" w:rsidP="00762122">
            <w:pPr>
              <w:tabs>
                <w:tab w:val="left" w:pos="3285"/>
              </w:tabs>
              <w:rPr>
                <w:rFonts w:ascii="Arial" w:hAnsi="Arial" w:cs="Arial"/>
              </w:rPr>
            </w:pPr>
          </w:p>
          <w:p w14:paraId="723FD774" w14:textId="77777777" w:rsidR="00711497" w:rsidRDefault="00711497" w:rsidP="00762122">
            <w:pPr>
              <w:tabs>
                <w:tab w:val="left" w:pos="3285"/>
              </w:tabs>
              <w:rPr>
                <w:rFonts w:ascii="Arial" w:hAnsi="Arial" w:cs="Arial"/>
              </w:rPr>
            </w:pPr>
          </w:p>
          <w:p w14:paraId="3656AD0B" w14:textId="77777777" w:rsidR="00711497" w:rsidRDefault="00711497" w:rsidP="00762122">
            <w:pPr>
              <w:tabs>
                <w:tab w:val="left" w:pos="3285"/>
              </w:tabs>
              <w:rPr>
                <w:rFonts w:ascii="Arial" w:hAnsi="Arial" w:cs="Arial"/>
              </w:rPr>
            </w:pPr>
          </w:p>
          <w:p w14:paraId="51AA348F" w14:textId="77777777" w:rsidR="00711497" w:rsidRDefault="00711497" w:rsidP="00762122">
            <w:pPr>
              <w:tabs>
                <w:tab w:val="left" w:pos="3285"/>
              </w:tabs>
              <w:rPr>
                <w:rFonts w:ascii="Arial" w:hAnsi="Arial" w:cs="Arial"/>
              </w:rPr>
            </w:pPr>
          </w:p>
          <w:p w14:paraId="21E1C287" w14:textId="77777777" w:rsidR="00711497" w:rsidRDefault="00711497" w:rsidP="00762122">
            <w:pPr>
              <w:tabs>
                <w:tab w:val="left" w:pos="3285"/>
              </w:tabs>
              <w:rPr>
                <w:rFonts w:ascii="Arial" w:hAnsi="Arial" w:cs="Arial"/>
              </w:rPr>
            </w:pPr>
          </w:p>
          <w:p w14:paraId="62503529" w14:textId="77777777" w:rsidR="00711497" w:rsidRDefault="00711497" w:rsidP="00762122">
            <w:pPr>
              <w:tabs>
                <w:tab w:val="left" w:pos="3285"/>
              </w:tabs>
              <w:rPr>
                <w:rFonts w:ascii="Arial" w:hAnsi="Arial" w:cs="Arial"/>
              </w:rPr>
            </w:pPr>
          </w:p>
          <w:p w14:paraId="3A502DC2" w14:textId="77777777" w:rsidR="00711497" w:rsidRDefault="00711497" w:rsidP="00762122">
            <w:pPr>
              <w:tabs>
                <w:tab w:val="left" w:pos="3285"/>
              </w:tabs>
              <w:rPr>
                <w:rFonts w:ascii="Arial" w:hAnsi="Arial" w:cs="Arial"/>
              </w:rPr>
            </w:pPr>
          </w:p>
          <w:p w14:paraId="3C5D6A91" w14:textId="77777777" w:rsidR="00711497" w:rsidRDefault="00711497" w:rsidP="00762122">
            <w:pPr>
              <w:tabs>
                <w:tab w:val="left" w:pos="3285"/>
              </w:tabs>
              <w:rPr>
                <w:rFonts w:ascii="Arial" w:hAnsi="Arial" w:cs="Arial"/>
              </w:rPr>
            </w:pPr>
          </w:p>
          <w:p w14:paraId="0CE08501" w14:textId="77777777" w:rsidR="00711497" w:rsidRDefault="00711497" w:rsidP="00762122">
            <w:pPr>
              <w:tabs>
                <w:tab w:val="left" w:pos="3285"/>
              </w:tabs>
              <w:rPr>
                <w:rFonts w:ascii="Arial" w:hAnsi="Arial" w:cs="Arial"/>
              </w:rPr>
            </w:pPr>
          </w:p>
          <w:p w14:paraId="7383E960" w14:textId="77777777" w:rsidR="00711497" w:rsidRDefault="00711497" w:rsidP="00762122">
            <w:pPr>
              <w:tabs>
                <w:tab w:val="left" w:pos="3285"/>
              </w:tabs>
              <w:rPr>
                <w:rFonts w:ascii="Arial" w:hAnsi="Arial" w:cs="Arial"/>
              </w:rPr>
            </w:pPr>
          </w:p>
          <w:p w14:paraId="6DED5FCF" w14:textId="77777777" w:rsidR="00711497" w:rsidRDefault="00711497" w:rsidP="00762122">
            <w:pPr>
              <w:tabs>
                <w:tab w:val="left" w:pos="3285"/>
              </w:tabs>
              <w:rPr>
                <w:rFonts w:ascii="Arial" w:hAnsi="Arial" w:cs="Arial"/>
              </w:rPr>
            </w:pPr>
          </w:p>
          <w:p w14:paraId="6EE27133" w14:textId="77777777" w:rsidR="00711497" w:rsidRDefault="00711497" w:rsidP="00762122">
            <w:pPr>
              <w:tabs>
                <w:tab w:val="left" w:pos="3285"/>
              </w:tabs>
              <w:rPr>
                <w:rFonts w:ascii="Arial" w:hAnsi="Arial" w:cs="Arial"/>
              </w:rPr>
            </w:pPr>
          </w:p>
          <w:p w14:paraId="0B9A62E4" w14:textId="77777777" w:rsidR="00711497" w:rsidRDefault="00711497" w:rsidP="00762122">
            <w:pPr>
              <w:tabs>
                <w:tab w:val="left" w:pos="3285"/>
              </w:tabs>
              <w:rPr>
                <w:rFonts w:ascii="Arial" w:hAnsi="Arial" w:cs="Arial"/>
              </w:rPr>
            </w:pPr>
          </w:p>
          <w:p w14:paraId="26D4AF2B" w14:textId="77777777" w:rsidR="00711497" w:rsidRDefault="00711497" w:rsidP="00762122">
            <w:pPr>
              <w:tabs>
                <w:tab w:val="left" w:pos="3285"/>
              </w:tabs>
              <w:rPr>
                <w:rFonts w:ascii="Arial" w:hAnsi="Arial" w:cs="Arial"/>
              </w:rPr>
            </w:pPr>
          </w:p>
          <w:p w14:paraId="5EAD267B" w14:textId="77777777" w:rsidR="00711497" w:rsidRDefault="00711497" w:rsidP="00762122">
            <w:pPr>
              <w:tabs>
                <w:tab w:val="left" w:pos="3285"/>
              </w:tabs>
              <w:rPr>
                <w:rFonts w:ascii="Arial" w:hAnsi="Arial" w:cs="Arial"/>
              </w:rPr>
            </w:pPr>
          </w:p>
          <w:p w14:paraId="222E61D3" w14:textId="77777777" w:rsidR="00711497" w:rsidRDefault="00711497" w:rsidP="00762122">
            <w:pPr>
              <w:tabs>
                <w:tab w:val="left" w:pos="3285"/>
              </w:tabs>
              <w:rPr>
                <w:rFonts w:ascii="Arial" w:hAnsi="Arial" w:cs="Arial"/>
              </w:rPr>
            </w:pPr>
          </w:p>
          <w:p w14:paraId="0322025C" w14:textId="77777777" w:rsidR="00711497" w:rsidRDefault="00711497" w:rsidP="00762122">
            <w:pPr>
              <w:tabs>
                <w:tab w:val="left" w:pos="3285"/>
              </w:tabs>
              <w:rPr>
                <w:rFonts w:ascii="Arial" w:hAnsi="Arial" w:cs="Arial"/>
              </w:rPr>
            </w:pPr>
          </w:p>
          <w:p w14:paraId="7218FF14" w14:textId="77777777" w:rsidR="00711497" w:rsidRDefault="00711497" w:rsidP="00762122">
            <w:pPr>
              <w:tabs>
                <w:tab w:val="left" w:pos="3285"/>
              </w:tabs>
              <w:rPr>
                <w:rFonts w:ascii="Arial" w:hAnsi="Arial" w:cs="Arial"/>
              </w:rPr>
            </w:pPr>
          </w:p>
          <w:p w14:paraId="19A3333E" w14:textId="77777777" w:rsidR="00711497" w:rsidRDefault="00711497" w:rsidP="00762122">
            <w:pPr>
              <w:tabs>
                <w:tab w:val="left" w:pos="3285"/>
              </w:tabs>
              <w:rPr>
                <w:rFonts w:ascii="Arial" w:hAnsi="Arial" w:cs="Arial"/>
              </w:rPr>
            </w:pPr>
          </w:p>
          <w:p w14:paraId="60D5BF2E" w14:textId="77777777" w:rsidR="00711497" w:rsidRDefault="00711497" w:rsidP="00762122">
            <w:pPr>
              <w:tabs>
                <w:tab w:val="left" w:pos="3285"/>
              </w:tabs>
              <w:rPr>
                <w:rFonts w:ascii="Arial" w:hAnsi="Arial" w:cs="Arial"/>
              </w:rPr>
            </w:pPr>
          </w:p>
          <w:p w14:paraId="36D94A13" w14:textId="77777777" w:rsidR="00711497" w:rsidRDefault="00711497" w:rsidP="00762122">
            <w:pPr>
              <w:tabs>
                <w:tab w:val="left" w:pos="3285"/>
              </w:tabs>
              <w:rPr>
                <w:rFonts w:ascii="Arial" w:hAnsi="Arial" w:cs="Arial"/>
              </w:rPr>
            </w:pPr>
          </w:p>
          <w:p w14:paraId="77693B7A" w14:textId="77777777" w:rsidR="00711497" w:rsidRDefault="00711497" w:rsidP="00762122">
            <w:pPr>
              <w:tabs>
                <w:tab w:val="left" w:pos="3285"/>
              </w:tabs>
              <w:rPr>
                <w:rFonts w:ascii="Arial" w:hAnsi="Arial" w:cs="Arial"/>
              </w:rPr>
            </w:pPr>
          </w:p>
          <w:p w14:paraId="12E34FD7" w14:textId="77777777" w:rsidR="00711497" w:rsidRDefault="00711497" w:rsidP="00762122">
            <w:pPr>
              <w:tabs>
                <w:tab w:val="left" w:pos="3285"/>
              </w:tabs>
              <w:rPr>
                <w:rFonts w:ascii="Arial" w:hAnsi="Arial" w:cs="Arial"/>
              </w:rPr>
            </w:pPr>
          </w:p>
          <w:p w14:paraId="3F5B86AF" w14:textId="77777777" w:rsidR="00711497" w:rsidRDefault="00711497" w:rsidP="00762122">
            <w:pPr>
              <w:tabs>
                <w:tab w:val="left" w:pos="3285"/>
              </w:tabs>
              <w:rPr>
                <w:rFonts w:ascii="Arial" w:hAnsi="Arial" w:cs="Arial"/>
              </w:rPr>
            </w:pPr>
          </w:p>
          <w:p w14:paraId="10D3A6B5" w14:textId="77777777" w:rsidR="00711497" w:rsidRDefault="00711497" w:rsidP="00762122">
            <w:pPr>
              <w:tabs>
                <w:tab w:val="left" w:pos="3285"/>
              </w:tabs>
              <w:rPr>
                <w:rFonts w:ascii="Arial" w:hAnsi="Arial" w:cs="Arial"/>
              </w:rPr>
            </w:pPr>
          </w:p>
          <w:p w14:paraId="35413318" w14:textId="77777777" w:rsidR="00711497" w:rsidRDefault="00711497" w:rsidP="00762122">
            <w:pPr>
              <w:tabs>
                <w:tab w:val="left" w:pos="3285"/>
              </w:tabs>
              <w:rPr>
                <w:rFonts w:ascii="Arial" w:hAnsi="Arial" w:cs="Arial"/>
              </w:rPr>
            </w:pPr>
          </w:p>
          <w:p w14:paraId="6202078F" w14:textId="77777777" w:rsidR="00711497" w:rsidRDefault="00711497" w:rsidP="00762122">
            <w:pPr>
              <w:tabs>
                <w:tab w:val="left" w:pos="3285"/>
              </w:tabs>
              <w:rPr>
                <w:rFonts w:ascii="Arial" w:hAnsi="Arial" w:cs="Arial"/>
              </w:rPr>
            </w:pPr>
          </w:p>
          <w:p w14:paraId="34DF8D9F" w14:textId="06F49D43" w:rsidR="00711497" w:rsidRPr="00B51D1F" w:rsidRDefault="00711497" w:rsidP="00762122">
            <w:pPr>
              <w:tabs>
                <w:tab w:val="left" w:pos="3285"/>
              </w:tabs>
              <w:rPr>
                <w:rFonts w:ascii="Arial" w:hAnsi="Arial" w:cs="Arial"/>
              </w:rPr>
            </w:pPr>
          </w:p>
        </w:tc>
      </w:tr>
      <w:tr w:rsidR="0061237E" w:rsidRPr="00B51D1F" w14:paraId="3B9276AE" w14:textId="77777777" w:rsidTr="00956DEC">
        <w:trPr>
          <w:trHeight w:val="279"/>
        </w:trPr>
        <w:tc>
          <w:tcPr>
            <w:tcW w:w="8815" w:type="dxa"/>
            <w:gridSpan w:val="2"/>
            <w:tcBorders>
              <w:top w:val="nil"/>
            </w:tcBorders>
            <w:shd w:val="clear" w:color="auto" w:fill="1F4E79" w:themeFill="accent1" w:themeFillShade="80"/>
          </w:tcPr>
          <w:p w14:paraId="26C70188" w14:textId="77777777" w:rsidR="0061237E" w:rsidRPr="001F5597" w:rsidRDefault="0061237E" w:rsidP="004422B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lastRenderedPageBreak/>
              <w:t>Other Regulatory Developments</w:t>
            </w:r>
          </w:p>
        </w:tc>
      </w:tr>
      <w:tr w:rsidR="0061237E" w:rsidRPr="00B51D1F" w14:paraId="04F9CD0A" w14:textId="77777777" w:rsidTr="00956DEC">
        <w:trPr>
          <w:trHeight w:val="279"/>
        </w:trPr>
        <w:tc>
          <w:tcPr>
            <w:tcW w:w="8815" w:type="dxa"/>
            <w:gridSpan w:val="2"/>
            <w:tcBorders>
              <w:top w:val="nil"/>
            </w:tcBorders>
            <w:shd w:val="clear" w:color="auto" w:fill="auto"/>
          </w:tcPr>
          <w:p w14:paraId="7D76C15C" w14:textId="6CA976D1" w:rsidR="00CD5878" w:rsidRDefault="008A2C67" w:rsidP="0061237E">
            <w:pPr>
              <w:rPr>
                <w:rFonts w:ascii="Arial" w:hAnsi="Arial" w:cs="Arial"/>
                <w:b/>
                <w:u w:val="single"/>
              </w:rPr>
            </w:pPr>
            <w:r w:rsidRPr="004D07E3">
              <w:rPr>
                <w:rFonts w:ascii="Arial" w:hAnsi="Arial" w:cs="Arial"/>
                <w:b/>
                <w:u w:val="single"/>
              </w:rPr>
              <w:t>Commission Changes</w:t>
            </w:r>
            <w:r w:rsidR="00CD3DC9" w:rsidRPr="004D07E3">
              <w:rPr>
                <w:rFonts w:ascii="Arial" w:hAnsi="Arial" w:cs="Arial"/>
                <w:b/>
                <w:u w:val="single"/>
              </w:rPr>
              <w:t xml:space="preserve"> &amp; Updates</w:t>
            </w:r>
          </w:p>
          <w:p w14:paraId="3C402CFB" w14:textId="050A792C" w:rsidR="00D25BFB" w:rsidRDefault="00D25BFB" w:rsidP="0061237E">
            <w:pPr>
              <w:rPr>
                <w:rFonts w:ascii="Arial" w:hAnsi="Arial" w:cs="Arial"/>
                <w:b/>
                <w:u w:val="single"/>
              </w:rPr>
            </w:pPr>
          </w:p>
          <w:p w14:paraId="17858C82" w14:textId="35CFD26E" w:rsidR="00722983" w:rsidRDefault="00D25BFB" w:rsidP="00722983">
            <w:pPr>
              <w:rPr>
                <w:rFonts w:ascii="Arial" w:hAnsi="Arial" w:cs="Arial"/>
              </w:rPr>
            </w:pPr>
            <w:r>
              <w:rPr>
                <w:rFonts w:ascii="Arial" w:hAnsi="Arial" w:cs="Arial"/>
                <w:b/>
              </w:rPr>
              <w:t>FERC:</w:t>
            </w:r>
            <w:r w:rsidR="00722983">
              <w:rPr>
                <w:rFonts w:ascii="Arial" w:hAnsi="Arial" w:cs="Arial"/>
                <w:b/>
              </w:rPr>
              <w:t xml:space="preserve"> </w:t>
            </w:r>
            <w:r w:rsidR="00722983" w:rsidRPr="00722983">
              <w:rPr>
                <w:rFonts w:ascii="Arial" w:hAnsi="Arial" w:cs="Arial"/>
              </w:rPr>
              <w:t xml:space="preserve">James </w:t>
            </w:r>
            <w:proofErr w:type="spellStart"/>
            <w:r w:rsidR="00722983" w:rsidRPr="00722983">
              <w:rPr>
                <w:rFonts w:ascii="Arial" w:hAnsi="Arial" w:cs="Arial"/>
              </w:rPr>
              <w:t>Danly</w:t>
            </w:r>
            <w:proofErr w:type="spellEnd"/>
            <w:r w:rsidR="00722983" w:rsidRPr="00722983">
              <w:rPr>
                <w:rFonts w:ascii="Arial" w:hAnsi="Arial" w:cs="Arial"/>
              </w:rPr>
              <w:t xml:space="preserve"> of Tennessee is the newest commissioner on the Federal Energy Regulatory Commission (FERC). </w:t>
            </w:r>
            <w:proofErr w:type="spellStart"/>
            <w:r w:rsidR="00722983" w:rsidRPr="00722983">
              <w:rPr>
                <w:rFonts w:ascii="Arial" w:hAnsi="Arial" w:cs="Arial"/>
              </w:rPr>
              <w:t>Danly</w:t>
            </w:r>
            <w:proofErr w:type="spellEnd"/>
            <w:r w:rsidR="00722983" w:rsidRPr="00722983">
              <w:rPr>
                <w:rFonts w:ascii="Arial" w:hAnsi="Arial" w:cs="Arial"/>
              </w:rPr>
              <w:t>, who had served as the commission’s general counsel, was approved last month by the U.S. Senate to serve in a Republican seat on the five-member commission.</w:t>
            </w:r>
          </w:p>
          <w:p w14:paraId="00C89850" w14:textId="2A87DA14" w:rsidR="00922292" w:rsidRDefault="00922292" w:rsidP="00722983">
            <w:pPr>
              <w:rPr>
                <w:rFonts w:ascii="Arial" w:hAnsi="Arial" w:cs="Arial"/>
                <w:b/>
              </w:rPr>
            </w:pPr>
          </w:p>
          <w:p w14:paraId="38C600C4" w14:textId="0FDC71FF" w:rsidR="00922292" w:rsidRPr="00722983" w:rsidRDefault="00922292" w:rsidP="00722983">
            <w:pPr>
              <w:rPr>
                <w:rFonts w:ascii="Arial" w:hAnsi="Arial" w:cs="Arial"/>
                <w:b/>
                <w:bCs/>
              </w:rPr>
            </w:pPr>
            <w:r>
              <w:rPr>
                <w:rFonts w:ascii="Arial" w:hAnsi="Arial" w:cs="Arial"/>
                <w:b/>
              </w:rPr>
              <w:t xml:space="preserve">GA: </w:t>
            </w:r>
            <w:r w:rsidR="001806A2" w:rsidRPr="001806A2">
              <w:rPr>
                <w:rFonts w:ascii="Arial" w:hAnsi="Arial" w:cs="Arial"/>
                <w:bCs/>
              </w:rPr>
              <w:t>The Georgia Public Service Commission has elected Commissioner Chuck Eaton as the Chairman of the Commission for 2020 and 2021. New chairs are elected every two years by a simple majority of the commissioners. This will be Chairman Eaton’s fourth term as chair since his election in 2006. Tim Echols will remain as vice-chair.</w:t>
            </w:r>
          </w:p>
          <w:p w14:paraId="37E80987" w14:textId="5BC24DBE" w:rsidR="00D25BFB" w:rsidRDefault="00D25BFB" w:rsidP="0061237E">
            <w:pPr>
              <w:rPr>
                <w:rFonts w:ascii="Arial" w:hAnsi="Arial" w:cs="Arial"/>
                <w:b/>
              </w:rPr>
            </w:pPr>
          </w:p>
          <w:p w14:paraId="482D59B9" w14:textId="72A950FA" w:rsidR="00D25BFB" w:rsidRDefault="00D25BFB" w:rsidP="0061237E">
            <w:pPr>
              <w:rPr>
                <w:rFonts w:ascii="Arial" w:hAnsi="Arial" w:cs="Arial"/>
                <w:b/>
              </w:rPr>
            </w:pPr>
            <w:r>
              <w:rPr>
                <w:rFonts w:ascii="Arial" w:hAnsi="Arial" w:cs="Arial"/>
                <w:b/>
              </w:rPr>
              <w:t>CO:</w:t>
            </w:r>
            <w:r w:rsidR="00555020">
              <w:rPr>
                <w:rFonts w:ascii="Arial" w:hAnsi="Arial" w:cs="Arial"/>
                <w:b/>
              </w:rPr>
              <w:t xml:space="preserve"> </w:t>
            </w:r>
            <w:r w:rsidR="00555020" w:rsidRPr="00555020">
              <w:rPr>
                <w:rFonts w:ascii="Arial" w:hAnsi="Arial" w:cs="Arial"/>
                <w:bCs/>
              </w:rPr>
              <w:t xml:space="preserve">Megan Gilman recently began serving a term as a commissioner at the Colorado Public Utilities Commission, following her appointment to the position by Gov. Jared Polis, a Democrat. Her term as commissioner extends to January 2024, and she replaced Frances </w:t>
            </w:r>
            <w:proofErr w:type="spellStart"/>
            <w:r w:rsidR="00555020" w:rsidRPr="00555020">
              <w:rPr>
                <w:rFonts w:ascii="Arial" w:hAnsi="Arial" w:cs="Arial"/>
                <w:bCs/>
              </w:rPr>
              <w:t>Koncilja</w:t>
            </w:r>
            <w:proofErr w:type="spellEnd"/>
            <w:r w:rsidR="00555020" w:rsidRPr="00555020">
              <w:rPr>
                <w:rFonts w:ascii="Arial" w:hAnsi="Arial" w:cs="Arial"/>
                <w:bCs/>
              </w:rPr>
              <w:t>, who was not reappointed to an additional term at the commission but who had been serving beyond the expiration of her term of office, which ended in January 2020. After her appointment by Polis on March 6, Gilman was confirmed by the state Senate on March 13 and began serving at the PUC on March 16.</w:t>
            </w:r>
          </w:p>
          <w:p w14:paraId="721DD64B" w14:textId="3555665F" w:rsidR="00D25BFB" w:rsidRDefault="00D25BFB" w:rsidP="0061237E">
            <w:pPr>
              <w:rPr>
                <w:rFonts w:ascii="Arial" w:hAnsi="Arial" w:cs="Arial"/>
                <w:b/>
              </w:rPr>
            </w:pPr>
          </w:p>
          <w:p w14:paraId="37C8037F" w14:textId="7838CAFA" w:rsidR="00922292" w:rsidRPr="00922292" w:rsidRDefault="00A20A10" w:rsidP="0061237E">
            <w:pPr>
              <w:rPr>
                <w:rFonts w:ascii="Arial" w:hAnsi="Arial" w:cs="Arial"/>
                <w:bCs/>
              </w:rPr>
            </w:pPr>
            <w:r>
              <w:rPr>
                <w:rFonts w:ascii="Arial" w:hAnsi="Arial" w:cs="Arial"/>
                <w:b/>
              </w:rPr>
              <w:t xml:space="preserve">CO: </w:t>
            </w:r>
            <w:r w:rsidR="00AF46CC" w:rsidRPr="00AF46CC">
              <w:rPr>
                <w:rFonts w:ascii="Arial" w:hAnsi="Arial" w:cs="Arial"/>
                <w:bCs/>
              </w:rPr>
              <w:t xml:space="preserve">Effective January 13, Gov. Jared Polis has appointed Susan Perkins to a four-year term at the Colorado Public Utilities Commission that extends until January 2024. Perkins is to replace Commissioner Frances </w:t>
            </w:r>
            <w:proofErr w:type="spellStart"/>
            <w:r w:rsidR="00AF46CC" w:rsidRPr="00AF46CC">
              <w:rPr>
                <w:rFonts w:ascii="Arial" w:hAnsi="Arial" w:cs="Arial"/>
                <w:bCs/>
              </w:rPr>
              <w:t>Koncilja</w:t>
            </w:r>
            <w:proofErr w:type="spellEnd"/>
            <w:r w:rsidR="00AF46CC" w:rsidRPr="00AF46CC">
              <w:rPr>
                <w:rFonts w:ascii="Arial" w:hAnsi="Arial" w:cs="Arial"/>
                <w:bCs/>
              </w:rPr>
              <w:t>, a Democrat, who was not reappointed and whose term of office expires this month but remains seated at the commission for the time being.</w:t>
            </w:r>
          </w:p>
          <w:p w14:paraId="778D9599" w14:textId="77777777" w:rsidR="00A20A10" w:rsidRDefault="00A20A10" w:rsidP="0061237E">
            <w:pPr>
              <w:rPr>
                <w:rFonts w:ascii="Arial" w:hAnsi="Arial" w:cs="Arial"/>
                <w:b/>
              </w:rPr>
            </w:pPr>
          </w:p>
          <w:p w14:paraId="51E49075" w14:textId="49579254" w:rsidR="00D25BFB" w:rsidRDefault="00936BA3" w:rsidP="0061237E">
            <w:pPr>
              <w:rPr>
                <w:rFonts w:ascii="Arial" w:hAnsi="Arial" w:cs="Arial"/>
                <w:bCs/>
              </w:rPr>
            </w:pPr>
            <w:r>
              <w:rPr>
                <w:rFonts w:ascii="Arial" w:hAnsi="Arial" w:cs="Arial"/>
                <w:b/>
              </w:rPr>
              <w:t xml:space="preserve">AK: </w:t>
            </w:r>
            <w:r w:rsidR="00B526A3" w:rsidRPr="00B526A3">
              <w:rPr>
                <w:rFonts w:ascii="Arial" w:hAnsi="Arial" w:cs="Arial"/>
                <w:bCs/>
              </w:rPr>
              <w:t xml:space="preserve">Republican </w:t>
            </w:r>
            <w:r w:rsidR="009B4403" w:rsidRPr="00B526A3">
              <w:rPr>
                <w:rFonts w:ascii="Arial" w:hAnsi="Arial" w:cs="Arial"/>
                <w:bCs/>
              </w:rPr>
              <w:t xml:space="preserve">Gov. Mike Dunleavy </w:t>
            </w:r>
            <w:r w:rsidR="00B526A3" w:rsidRPr="00B526A3">
              <w:rPr>
                <w:rFonts w:ascii="Arial" w:hAnsi="Arial" w:cs="Arial"/>
                <w:bCs/>
              </w:rPr>
              <w:t xml:space="preserve">announced </w:t>
            </w:r>
            <w:r w:rsidR="009B4403" w:rsidRPr="00B526A3">
              <w:rPr>
                <w:rFonts w:ascii="Arial" w:hAnsi="Arial" w:cs="Arial"/>
                <w:bCs/>
              </w:rPr>
              <w:t>on February 5 the re-appointment of Chairman Robert Pickett to the Regulatory Commission of Alaska. His appointment is subject to General Assembly confirmation, and if confirmed, he will serve an additional six-term that extends to March 1, 2026.</w:t>
            </w:r>
          </w:p>
          <w:p w14:paraId="3F9576FC" w14:textId="64026C8C" w:rsidR="007746CB" w:rsidRDefault="007746CB" w:rsidP="0061237E">
            <w:pPr>
              <w:rPr>
                <w:rFonts w:ascii="Arial" w:hAnsi="Arial" w:cs="Arial"/>
                <w:bCs/>
              </w:rPr>
            </w:pPr>
          </w:p>
          <w:p w14:paraId="4C0B303E" w14:textId="124CFCC5" w:rsidR="007746CB" w:rsidRDefault="007746CB" w:rsidP="0061237E">
            <w:pPr>
              <w:rPr>
                <w:rFonts w:ascii="Arial" w:hAnsi="Arial" w:cs="Arial"/>
                <w:bCs/>
              </w:rPr>
            </w:pPr>
            <w:r>
              <w:rPr>
                <w:rFonts w:ascii="Arial" w:hAnsi="Arial" w:cs="Arial"/>
                <w:b/>
              </w:rPr>
              <w:t xml:space="preserve">NV: </w:t>
            </w:r>
            <w:r w:rsidR="005A438C" w:rsidRPr="005A438C">
              <w:rPr>
                <w:rFonts w:ascii="Arial" w:hAnsi="Arial" w:cs="Arial"/>
                <w:bCs/>
              </w:rPr>
              <w:t>Gov. Steve Sisolak recently designated Commissioner Hayley Williamson as chairwoman of the Public Utilities Commission of Nevada.</w:t>
            </w:r>
          </w:p>
          <w:p w14:paraId="2E89BE73" w14:textId="755C140C" w:rsidR="00486A44" w:rsidRDefault="00486A44" w:rsidP="0061237E">
            <w:pPr>
              <w:rPr>
                <w:rFonts w:ascii="Arial" w:hAnsi="Arial" w:cs="Arial"/>
                <w:bCs/>
              </w:rPr>
            </w:pPr>
          </w:p>
          <w:p w14:paraId="6879FB21" w14:textId="5C094454" w:rsidR="00486A44" w:rsidRDefault="00486A44" w:rsidP="0061237E">
            <w:pPr>
              <w:rPr>
                <w:rFonts w:ascii="Arial" w:hAnsi="Arial" w:cs="Arial"/>
                <w:bCs/>
              </w:rPr>
            </w:pPr>
            <w:r>
              <w:rPr>
                <w:rFonts w:ascii="Arial" w:hAnsi="Arial" w:cs="Arial"/>
                <w:b/>
              </w:rPr>
              <w:t xml:space="preserve">RI: </w:t>
            </w:r>
            <w:r w:rsidRPr="00486A44">
              <w:rPr>
                <w:rFonts w:ascii="Arial" w:hAnsi="Arial" w:cs="Arial"/>
                <w:bCs/>
              </w:rPr>
              <w:t xml:space="preserve">Gov. Gina Raimondo on January 10 announced the appointment of Ronald </w:t>
            </w:r>
            <w:proofErr w:type="spellStart"/>
            <w:r w:rsidRPr="00486A44">
              <w:rPr>
                <w:rFonts w:ascii="Arial" w:hAnsi="Arial" w:cs="Arial"/>
                <w:bCs/>
              </w:rPr>
              <w:t>Gerwatowski</w:t>
            </w:r>
            <w:proofErr w:type="spellEnd"/>
            <w:r w:rsidRPr="00486A44">
              <w:rPr>
                <w:rFonts w:ascii="Arial" w:hAnsi="Arial" w:cs="Arial"/>
                <w:bCs/>
              </w:rPr>
              <w:t xml:space="preserve"> to a term on the Rhode Island Public Utilities Commission expiring March 1, 2025.</w:t>
            </w:r>
          </w:p>
          <w:p w14:paraId="6A8F23E7" w14:textId="10614982" w:rsidR="00C25E3C" w:rsidRDefault="00C25E3C" w:rsidP="0061237E">
            <w:pPr>
              <w:rPr>
                <w:rFonts w:ascii="Arial" w:hAnsi="Arial" w:cs="Arial"/>
                <w:b/>
              </w:rPr>
            </w:pPr>
          </w:p>
          <w:p w14:paraId="7F4DCBFA" w14:textId="501D77B1" w:rsidR="00C25E3C" w:rsidRDefault="00C25E3C" w:rsidP="0061237E">
            <w:pPr>
              <w:rPr>
                <w:rFonts w:ascii="Arial" w:hAnsi="Arial" w:cs="Arial"/>
                <w:bCs/>
              </w:rPr>
            </w:pPr>
            <w:r>
              <w:rPr>
                <w:rFonts w:ascii="Arial" w:hAnsi="Arial" w:cs="Arial"/>
                <w:b/>
              </w:rPr>
              <w:t xml:space="preserve">NM: </w:t>
            </w:r>
            <w:r w:rsidR="00194833" w:rsidRPr="00194833">
              <w:rPr>
                <w:rFonts w:ascii="Arial" w:hAnsi="Arial" w:cs="Arial"/>
                <w:bCs/>
              </w:rPr>
              <w:t>Commissioners Theresa Becenti-Aguilar and Stephen Fischmann were recently elected chair and vice chair, respectively, of the New Mexico Public Regulation Commission by their fellow commissioners.</w:t>
            </w:r>
          </w:p>
          <w:p w14:paraId="158590E1" w14:textId="4013B778" w:rsidR="0029332F" w:rsidRDefault="0029332F" w:rsidP="0061237E">
            <w:pPr>
              <w:rPr>
                <w:rFonts w:ascii="Arial" w:hAnsi="Arial" w:cs="Arial"/>
                <w:b/>
              </w:rPr>
            </w:pPr>
          </w:p>
          <w:p w14:paraId="4F72451E" w14:textId="691ADFCA" w:rsidR="0029332F" w:rsidRPr="00486A44" w:rsidRDefault="0029332F" w:rsidP="0061237E">
            <w:pPr>
              <w:rPr>
                <w:rFonts w:ascii="Arial" w:hAnsi="Arial" w:cs="Arial"/>
                <w:b/>
              </w:rPr>
            </w:pPr>
            <w:r>
              <w:rPr>
                <w:rFonts w:ascii="Arial" w:hAnsi="Arial" w:cs="Arial"/>
                <w:b/>
              </w:rPr>
              <w:lastRenderedPageBreak/>
              <w:t xml:space="preserve">MS: </w:t>
            </w:r>
            <w:r w:rsidR="002877D1" w:rsidRPr="002877D1">
              <w:rPr>
                <w:rFonts w:ascii="Arial" w:hAnsi="Arial" w:cs="Arial"/>
                <w:bCs/>
              </w:rPr>
              <w:t>On January 2, Dane Maxwell and Brent Bailey were sworn in as the newest commissioners of the Mississippi Public Service Commission. They join Chairman Brandon Presley.</w:t>
            </w:r>
          </w:p>
          <w:p w14:paraId="20D39CD5" w14:textId="71344994" w:rsidR="007505B5" w:rsidRDefault="007505B5" w:rsidP="0061237E">
            <w:pPr>
              <w:rPr>
                <w:rFonts w:ascii="Arial" w:hAnsi="Arial" w:cs="Arial"/>
                <w:bCs/>
              </w:rPr>
            </w:pPr>
          </w:p>
          <w:p w14:paraId="7DF7A76D" w14:textId="57EDFC15" w:rsidR="007505B5" w:rsidRDefault="007505B5" w:rsidP="0061237E">
            <w:pPr>
              <w:rPr>
                <w:rFonts w:ascii="Arial" w:hAnsi="Arial" w:cs="Arial"/>
                <w:b/>
              </w:rPr>
            </w:pPr>
            <w:r>
              <w:rPr>
                <w:rFonts w:ascii="Arial" w:hAnsi="Arial" w:cs="Arial"/>
                <w:b/>
              </w:rPr>
              <w:t>LA:</w:t>
            </w:r>
            <w:r w:rsidR="008E3BF8">
              <w:rPr>
                <w:rFonts w:ascii="Arial" w:hAnsi="Arial" w:cs="Arial"/>
                <w:b/>
              </w:rPr>
              <w:t xml:space="preserve"> </w:t>
            </w:r>
            <w:r w:rsidR="008E3BF8" w:rsidRPr="008E3BF8">
              <w:rPr>
                <w:rFonts w:ascii="Arial" w:hAnsi="Arial" w:cs="Arial"/>
                <w:bCs/>
              </w:rPr>
              <w:t>Michael Francis and Craig Greene were elected chairman and vice chairman, respectively, of the Louisiana Public Service Commission on Jan. 22, by their fellow commissioners. PSC chair and vice chair terms are typically for one year.</w:t>
            </w:r>
          </w:p>
          <w:p w14:paraId="6F8960BA" w14:textId="0450A27B" w:rsidR="007505B5" w:rsidRDefault="007505B5" w:rsidP="0061237E">
            <w:pPr>
              <w:rPr>
                <w:rFonts w:ascii="Arial" w:hAnsi="Arial" w:cs="Arial"/>
                <w:b/>
              </w:rPr>
            </w:pPr>
          </w:p>
          <w:p w14:paraId="2475F32C" w14:textId="170DFA6A" w:rsidR="007505B5" w:rsidRDefault="007505B5" w:rsidP="0061237E">
            <w:pPr>
              <w:rPr>
                <w:rFonts w:ascii="Arial" w:hAnsi="Arial" w:cs="Arial"/>
                <w:bCs/>
              </w:rPr>
            </w:pPr>
            <w:r>
              <w:rPr>
                <w:rFonts w:ascii="Arial" w:hAnsi="Arial" w:cs="Arial"/>
                <w:b/>
              </w:rPr>
              <w:t>VA:</w:t>
            </w:r>
            <w:r w:rsidR="00C50266">
              <w:rPr>
                <w:rFonts w:ascii="Arial" w:hAnsi="Arial" w:cs="Arial"/>
                <w:b/>
              </w:rPr>
              <w:t xml:space="preserve"> </w:t>
            </w:r>
            <w:r w:rsidR="00C50266" w:rsidRPr="00C50266">
              <w:rPr>
                <w:rFonts w:ascii="Arial" w:hAnsi="Arial" w:cs="Arial"/>
                <w:bCs/>
              </w:rPr>
              <w:t xml:space="preserve">Mark Christie is set to become chairman of the Virginia State Corporation Commission, effective February 1, while colleague Patricia West awaits action from the General Assembly on her bid for a new term on the agency. </w:t>
            </w:r>
          </w:p>
          <w:p w14:paraId="0E4C5F85" w14:textId="22F92ED6" w:rsidR="001806A2" w:rsidRDefault="001806A2" w:rsidP="0061237E">
            <w:pPr>
              <w:rPr>
                <w:rFonts w:ascii="Arial" w:hAnsi="Arial" w:cs="Arial"/>
                <w:b/>
              </w:rPr>
            </w:pPr>
          </w:p>
          <w:p w14:paraId="4C868016" w14:textId="1ACF19FC" w:rsidR="001806A2" w:rsidRDefault="001806A2" w:rsidP="0061237E">
            <w:pPr>
              <w:rPr>
                <w:rFonts w:ascii="Arial" w:hAnsi="Arial" w:cs="Arial"/>
                <w:bCs/>
              </w:rPr>
            </w:pPr>
            <w:r>
              <w:rPr>
                <w:rFonts w:ascii="Arial" w:hAnsi="Arial" w:cs="Arial"/>
                <w:b/>
              </w:rPr>
              <w:t xml:space="preserve">MO: </w:t>
            </w:r>
            <w:r w:rsidR="00C92935" w:rsidRPr="00913400">
              <w:rPr>
                <w:rFonts w:ascii="Arial" w:hAnsi="Arial" w:cs="Arial"/>
                <w:bCs/>
              </w:rPr>
              <w:t xml:space="preserve">On January 13 Republican Gov. Michael Parson appointed </w:t>
            </w:r>
            <w:r w:rsidR="00913400" w:rsidRPr="00913400">
              <w:rPr>
                <w:rFonts w:ascii="Arial" w:hAnsi="Arial" w:cs="Arial"/>
                <w:bCs/>
              </w:rPr>
              <w:t xml:space="preserve">Democrat </w:t>
            </w:r>
            <w:r w:rsidR="00C92935" w:rsidRPr="00913400">
              <w:rPr>
                <w:rFonts w:ascii="Arial" w:hAnsi="Arial" w:cs="Arial"/>
                <w:bCs/>
              </w:rPr>
              <w:t xml:space="preserve">Jason </w:t>
            </w:r>
            <w:proofErr w:type="spellStart"/>
            <w:r w:rsidR="00C92935" w:rsidRPr="00913400">
              <w:rPr>
                <w:rFonts w:ascii="Arial" w:hAnsi="Arial" w:cs="Arial"/>
                <w:bCs/>
              </w:rPr>
              <w:t>Holsman</w:t>
            </w:r>
            <w:proofErr w:type="spellEnd"/>
            <w:r w:rsidR="00C92935" w:rsidRPr="00913400">
              <w:rPr>
                <w:rFonts w:ascii="Arial" w:hAnsi="Arial" w:cs="Arial"/>
                <w:bCs/>
              </w:rPr>
              <w:t xml:space="preserve"> to the PSC. </w:t>
            </w:r>
            <w:proofErr w:type="spellStart"/>
            <w:r w:rsidR="00C92935" w:rsidRPr="00913400">
              <w:rPr>
                <w:rFonts w:ascii="Arial" w:hAnsi="Arial" w:cs="Arial"/>
                <w:bCs/>
              </w:rPr>
              <w:t>Holsman</w:t>
            </w:r>
            <w:proofErr w:type="spellEnd"/>
            <w:r w:rsidR="00C92935" w:rsidRPr="00913400">
              <w:rPr>
                <w:rFonts w:ascii="Arial" w:hAnsi="Arial" w:cs="Arial"/>
                <w:bCs/>
              </w:rPr>
              <w:t xml:space="preserve"> is filling the vacancy created by the departure of Daniel Hall, whose term expired in September 2019.</w:t>
            </w:r>
          </w:p>
          <w:p w14:paraId="326CF926" w14:textId="77777777" w:rsidR="00717086" w:rsidRPr="00745A89" w:rsidRDefault="00717086" w:rsidP="0061237E">
            <w:pPr>
              <w:rPr>
                <w:rFonts w:ascii="Arial" w:hAnsi="Arial" w:cs="Arial"/>
                <w:u w:val="single"/>
              </w:rPr>
            </w:pPr>
          </w:p>
          <w:p w14:paraId="4FE4D6F7" w14:textId="782B4B42" w:rsidR="008A2C67" w:rsidRDefault="008A2C67" w:rsidP="0061237E">
            <w:pPr>
              <w:rPr>
                <w:rFonts w:ascii="Arial" w:hAnsi="Arial" w:cs="Arial"/>
                <w:b/>
                <w:u w:val="single"/>
              </w:rPr>
            </w:pPr>
            <w:r w:rsidRPr="00F31B28">
              <w:rPr>
                <w:rFonts w:ascii="Arial" w:hAnsi="Arial" w:cs="Arial"/>
                <w:b/>
                <w:u w:val="single"/>
              </w:rPr>
              <w:t xml:space="preserve">Other Noteworthy Regulatory Action </w:t>
            </w:r>
          </w:p>
          <w:p w14:paraId="2FF30848" w14:textId="19917BD0" w:rsidR="003C4302" w:rsidRDefault="003C4302" w:rsidP="0061237E">
            <w:pPr>
              <w:rPr>
                <w:rFonts w:ascii="Arial" w:hAnsi="Arial" w:cs="Arial"/>
                <w:b/>
                <w:u w:val="single"/>
              </w:rPr>
            </w:pPr>
          </w:p>
          <w:p w14:paraId="7D47A33D" w14:textId="29A67B4D" w:rsidR="003C4302" w:rsidRDefault="003C4302" w:rsidP="0061237E">
            <w:pPr>
              <w:rPr>
                <w:rFonts w:ascii="Arial" w:hAnsi="Arial" w:cs="Arial"/>
                <w:bCs/>
              </w:rPr>
            </w:pPr>
            <w:r>
              <w:rPr>
                <w:rFonts w:ascii="Arial" w:hAnsi="Arial" w:cs="Arial"/>
                <w:b/>
              </w:rPr>
              <w:t xml:space="preserve">NY: </w:t>
            </w:r>
            <w:r w:rsidR="008E3BF8" w:rsidRPr="008E3BF8">
              <w:rPr>
                <w:rFonts w:ascii="Arial" w:hAnsi="Arial" w:cs="Arial"/>
                <w:bCs/>
              </w:rPr>
              <w:t>The New York State Public Service Commissions on March 19 announced a review of current gas supply planning protocols as the state pursues ambitious goals to mitigate climate change. The proposal orders gas utilities to take steps that could "reduce or eliminate the need for gas infrastructure and investments" in New York.</w:t>
            </w:r>
          </w:p>
          <w:p w14:paraId="72D4F00B" w14:textId="6E09CEBE" w:rsidR="009327EE" w:rsidRDefault="009327EE" w:rsidP="0061237E">
            <w:pPr>
              <w:rPr>
                <w:rFonts w:ascii="Arial" w:hAnsi="Arial" w:cs="Arial"/>
                <w:bCs/>
              </w:rPr>
            </w:pPr>
          </w:p>
          <w:p w14:paraId="28C95586" w14:textId="77777777" w:rsidR="009C0846" w:rsidRPr="009C0846" w:rsidRDefault="009327EE" w:rsidP="0061237E">
            <w:pPr>
              <w:rPr>
                <w:rFonts w:ascii="Arial" w:hAnsi="Arial" w:cs="Arial"/>
                <w:bCs/>
              </w:rPr>
            </w:pPr>
            <w:r>
              <w:rPr>
                <w:rFonts w:ascii="Arial" w:hAnsi="Arial" w:cs="Arial"/>
                <w:b/>
              </w:rPr>
              <w:t xml:space="preserve">CA: </w:t>
            </w:r>
            <w:r w:rsidR="009C0846" w:rsidRPr="009C0846">
              <w:rPr>
                <w:rFonts w:ascii="Arial" w:hAnsi="Arial" w:cs="Arial"/>
                <w:bCs/>
              </w:rPr>
              <w:t xml:space="preserve">On January 16, the California Public Utilities Commission launched a new rulemaking to regulate the state's transition away from natural gas, addressing issues related to stranded assets and unfair cost shifts among ratepayers. </w:t>
            </w:r>
          </w:p>
          <w:p w14:paraId="6D823B85" w14:textId="77777777" w:rsidR="009C0846" w:rsidRPr="009C0846" w:rsidRDefault="009C0846" w:rsidP="0061237E">
            <w:pPr>
              <w:rPr>
                <w:rFonts w:ascii="Arial" w:hAnsi="Arial" w:cs="Arial"/>
                <w:bCs/>
              </w:rPr>
            </w:pPr>
          </w:p>
          <w:p w14:paraId="7FAD83E3" w14:textId="77777777" w:rsidR="009C0846" w:rsidRPr="009C0846" w:rsidRDefault="009C0846" w:rsidP="0061237E">
            <w:pPr>
              <w:rPr>
                <w:rFonts w:ascii="Arial" w:hAnsi="Arial" w:cs="Arial"/>
                <w:bCs/>
              </w:rPr>
            </w:pPr>
            <w:r w:rsidRPr="009C0846">
              <w:rPr>
                <w:rFonts w:ascii="Arial" w:hAnsi="Arial" w:cs="Arial"/>
                <w:bCs/>
              </w:rPr>
              <w:t xml:space="preserve">Regulators will also </w:t>
            </w:r>
            <w:proofErr w:type="gramStart"/>
            <w:r w:rsidRPr="009C0846">
              <w:rPr>
                <w:rFonts w:ascii="Arial" w:hAnsi="Arial" w:cs="Arial"/>
                <w:bCs/>
              </w:rPr>
              <w:t>look into</w:t>
            </w:r>
            <w:proofErr w:type="gramEnd"/>
            <w:r w:rsidRPr="009C0846">
              <w:rPr>
                <w:rFonts w:ascii="Arial" w:hAnsi="Arial" w:cs="Arial"/>
                <w:bCs/>
              </w:rPr>
              <w:t xml:space="preserve"> crafting updated reliability standards for gas systems. The rulemaking will be conducted in two tracks, with the second focused on developing this long-term strategy. Specifically, the commission intends to pinpoint what kind of gas infrastructure portfolios will be best suited for the state's utilities; how much of it is needed through 2045 and beyond; and how to address the short-term reliability need for gas in the IRP process. </w:t>
            </w:r>
          </w:p>
          <w:p w14:paraId="0B0AE95A" w14:textId="77777777" w:rsidR="009C0846" w:rsidRPr="009C0846" w:rsidRDefault="009C0846" w:rsidP="0061237E">
            <w:pPr>
              <w:rPr>
                <w:rFonts w:ascii="Arial" w:hAnsi="Arial" w:cs="Arial"/>
                <w:bCs/>
              </w:rPr>
            </w:pPr>
          </w:p>
          <w:p w14:paraId="094D311C" w14:textId="586D69BD" w:rsidR="009327EE" w:rsidRDefault="009C0846" w:rsidP="0061237E">
            <w:pPr>
              <w:rPr>
                <w:rFonts w:ascii="Arial" w:hAnsi="Arial" w:cs="Arial"/>
                <w:bCs/>
              </w:rPr>
            </w:pPr>
            <w:r w:rsidRPr="009C0846">
              <w:rPr>
                <w:rFonts w:ascii="Arial" w:hAnsi="Arial" w:cs="Arial"/>
                <w:bCs/>
              </w:rPr>
              <w:t xml:space="preserve">In the first track of the proceeding, the commission intends to review current reliability standards, and </w:t>
            </w:r>
            <w:proofErr w:type="gramStart"/>
            <w:r w:rsidRPr="009C0846">
              <w:rPr>
                <w:rFonts w:ascii="Arial" w:hAnsi="Arial" w:cs="Arial"/>
                <w:bCs/>
              </w:rPr>
              <w:t>look into</w:t>
            </w:r>
            <w:proofErr w:type="gramEnd"/>
            <w:r w:rsidRPr="009C0846">
              <w:rPr>
                <w:rFonts w:ascii="Arial" w:hAnsi="Arial" w:cs="Arial"/>
                <w:bCs/>
              </w:rPr>
              <w:t xml:space="preserve"> rules around long-term contracting and tariff changes, among other things. Pacific Gas &amp; Electric, San Diego Gas &amp; Electric and Southern California Edison are among the utilities named as respondents to the rulemaking.</w:t>
            </w:r>
          </w:p>
          <w:p w14:paraId="787E4E33" w14:textId="208AF2DD" w:rsidR="00146F44" w:rsidRDefault="00146F44" w:rsidP="0061237E">
            <w:pPr>
              <w:rPr>
                <w:rFonts w:ascii="Arial" w:hAnsi="Arial" w:cs="Arial"/>
                <w:bCs/>
              </w:rPr>
            </w:pPr>
          </w:p>
          <w:p w14:paraId="49CDADA4" w14:textId="44981EE4" w:rsidR="00813AF0" w:rsidRPr="001040D8" w:rsidRDefault="00146F44" w:rsidP="00813AF0">
            <w:pPr>
              <w:rPr>
                <w:rFonts w:ascii="Arial" w:hAnsi="Arial" w:cs="Arial"/>
                <w:bCs/>
              </w:rPr>
            </w:pPr>
            <w:r>
              <w:rPr>
                <w:rFonts w:ascii="Arial" w:hAnsi="Arial" w:cs="Arial"/>
                <w:b/>
              </w:rPr>
              <w:t xml:space="preserve">DC: </w:t>
            </w:r>
            <w:r w:rsidR="00813AF0" w:rsidRPr="001040D8">
              <w:rPr>
                <w:rFonts w:ascii="Arial" w:hAnsi="Arial" w:cs="Arial"/>
                <w:bCs/>
              </w:rPr>
              <w:t>The DC Public Service Commission issued a policy order establishing a framework for alternative forms of regulations, in conjunction with Potomac Electric Power Co.'s pending electric distribution rate proceeding.</w:t>
            </w:r>
          </w:p>
          <w:p w14:paraId="1AE5FB3B" w14:textId="77777777" w:rsidR="001040D8" w:rsidRPr="001040D8" w:rsidRDefault="001040D8" w:rsidP="00813AF0">
            <w:pPr>
              <w:rPr>
                <w:rFonts w:ascii="Arial" w:hAnsi="Arial" w:cs="Arial"/>
                <w:bCs/>
              </w:rPr>
            </w:pPr>
          </w:p>
          <w:p w14:paraId="0D93D757" w14:textId="3862E280" w:rsidR="00146F44" w:rsidRPr="001040D8" w:rsidRDefault="00813AF0" w:rsidP="00813AF0">
            <w:pPr>
              <w:rPr>
                <w:rFonts w:ascii="Arial" w:hAnsi="Arial" w:cs="Arial"/>
                <w:bCs/>
              </w:rPr>
            </w:pPr>
            <w:r w:rsidRPr="001040D8">
              <w:rPr>
                <w:rFonts w:ascii="Arial" w:hAnsi="Arial" w:cs="Arial"/>
                <w:bCs/>
              </w:rPr>
              <w:t>According to the PSC, it may adopt an alternative form of regulation if it finds that it: protects consumers; ensures the quality, availability and reliability of regulated utility services; and is in the interest of the public, including</w:t>
            </w:r>
            <w:r w:rsidR="001040D8" w:rsidRPr="001040D8">
              <w:rPr>
                <w:rFonts w:ascii="Arial" w:hAnsi="Arial" w:cs="Arial"/>
                <w:bCs/>
              </w:rPr>
              <w:t xml:space="preserve"> </w:t>
            </w:r>
            <w:r w:rsidRPr="001040D8">
              <w:rPr>
                <w:rFonts w:ascii="Arial" w:hAnsi="Arial" w:cs="Arial"/>
                <w:bCs/>
              </w:rPr>
              <w:t>shareholders of the utility.</w:t>
            </w:r>
          </w:p>
          <w:p w14:paraId="47718970" w14:textId="084138B8" w:rsidR="000C0153" w:rsidRDefault="00DC0393" w:rsidP="000C0153">
            <w:pPr>
              <w:rPr>
                <w:rFonts w:ascii="Arial" w:hAnsi="Arial" w:cs="Arial"/>
                <w:bCs/>
              </w:rPr>
            </w:pPr>
            <w:r>
              <w:rPr>
                <w:rFonts w:ascii="Arial" w:hAnsi="Arial" w:cs="Arial"/>
                <w:b/>
              </w:rPr>
              <w:lastRenderedPageBreak/>
              <w:t xml:space="preserve">NY: </w:t>
            </w:r>
            <w:r w:rsidR="000C0153" w:rsidRPr="000C0153">
              <w:rPr>
                <w:rFonts w:ascii="Arial" w:hAnsi="Arial" w:cs="Arial"/>
                <w:bCs/>
              </w:rPr>
              <w:t>Administrative law judges of the New York Public Service Commission issued rulings April 7 denying requests by a consumer group calling for new data to be filed in pending rate cases reflecting the public health and economic crisis resulting from the novel coronavirus.</w:t>
            </w:r>
          </w:p>
          <w:p w14:paraId="4929A630" w14:textId="5DD953E1" w:rsidR="00194833" w:rsidRDefault="00194833" w:rsidP="000C0153">
            <w:pPr>
              <w:rPr>
                <w:rFonts w:ascii="Arial" w:hAnsi="Arial" w:cs="Arial"/>
                <w:b/>
              </w:rPr>
            </w:pPr>
          </w:p>
          <w:p w14:paraId="7573D3C6" w14:textId="00F7488A" w:rsidR="00194833" w:rsidRPr="000C0153" w:rsidRDefault="00194833" w:rsidP="000C0153">
            <w:pPr>
              <w:rPr>
                <w:rFonts w:ascii="Arial" w:hAnsi="Arial" w:cs="Arial"/>
                <w:b/>
              </w:rPr>
            </w:pPr>
            <w:r>
              <w:rPr>
                <w:rFonts w:ascii="Arial" w:hAnsi="Arial" w:cs="Arial"/>
                <w:b/>
              </w:rPr>
              <w:t xml:space="preserve">CA: </w:t>
            </w:r>
            <w:r w:rsidR="009327EE" w:rsidRPr="009327EE">
              <w:rPr>
                <w:rFonts w:ascii="Arial" w:hAnsi="Arial" w:cs="Arial"/>
                <w:bCs/>
              </w:rPr>
              <w:t>The California Public Utilities Commission on January 16 voted to change the current three-year rate case cycle for energy utilities to a four-year cycle to allow utilities more time to implement risk-mitigation and accountability structures and less time litigating issues with stakeholders in hopes of making rate cases more efficient and predictable.</w:t>
            </w:r>
          </w:p>
          <w:p w14:paraId="23260774" w14:textId="77777777" w:rsidR="00DC0393" w:rsidRDefault="00DC0393" w:rsidP="0061237E">
            <w:pPr>
              <w:rPr>
                <w:rFonts w:ascii="Arial" w:hAnsi="Arial" w:cs="Arial"/>
                <w:b/>
              </w:rPr>
            </w:pPr>
          </w:p>
          <w:p w14:paraId="72B46B2F" w14:textId="02DE3F10" w:rsidR="008646D2" w:rsidRDefault="008646D2" w:rsidP="0061237E">
            <w:pPr>
              <w:rPr>
                <w:rFonts w:ascii="Arial" w:hAnsi="Arial" w:cs="Arial"/>
                <w:b/>
              </w:rPr>
            </w:pPr>
            <w:r>
              <w:rPr>
                <w:rFonts w:ascii="Arial" w:hAnsi="Arial" w:cs="Arial"/>
                <w:b/>
              </w:rPr>
              <w:t xml:space="preserve">MO: </w:t>
            </w:r>
            <w:r w:rsidR="009B180F" w:rsidRPr="009B180F">
              <w:rPr>
                <w:rFonts w:ascii="Arial" w:hAnsi="Arial" w:cs="Arial"/>
                <w:bCs/>
              </w:rPr>
              <w:t>The staff of the Missouri Public Service Commission has proposed an “optional, shortened ratemaking procedure” that could be used by the state’s electric, natural gas and water utilities. The staff’s proposed rule includes certain minimum filing requirements the utilities would need to adhere to if they were to choose to file an “expedited” rate change request. There is consensus among the utilities that a shortened ratemaking process could be a worthwhile endeavor</w:t>
            </w:r>
            <w:r w:rsidR="009B180F">
              <w:rPr>
                <w:rFonts w:ascii="Arial" w:hAnsi="Arial" w:cs="Arial"/>
                <w:bCs/>
              </w:rPr>
              <w:t>.</w:t>
            </w:r>
          </w:p>
          <w:p w14:paraId="03CDAA5A" w14:textId="77777777" w:rsidR="008646D2" w:rsidRDefault="008646D2" w:rsidP="0061237E">
            <w:pPr>
              <w:rPr>
                <w:rFonts w:ascii="Arial" w:hAnsi="Arial" w:cs="Arial"/>
                <w:b/>
              </w:rPr>
            </w:pPr>
          </w:p>
          <w:p w14:paraId="64BCD467" w14:textId="0E80F1EC" w:rsidR="007A42C4" w:rsidRPr="007A42C4" w:rsidRDefault="007A42C4" w:rsidP="0061237E">
            <w:pPr>
              <w:rPr>
                <w:rFonts w:ascii="Arial" w:hAnsi="Arial" w:cs="Arial"/>
                <w:b/>
              </w:rPr>
            </w:pPr>
            <w:r>
              <w:rPr>
                <w:rFonts w:ascii="Arial" w:hAnsi="Arial" w:cs="Arial"/>
                <w:b/>
              </w:rPr>
              <w:t xml:space="preserve">NM: </w:t>
            </w:r>
            <w:r w:rsidR="004479D5" w:rsidRPr="004479D5">
              <w:rPr>
                <w:rFonts w:ascii="Arial" w:hAnsi="Arial" w:cs="Arial"/>
                <w:bCs/>
              </w:rPr>
              <w:t>In New Mexico, a proceeding is pending to simplify and increase the “transparency” of rate cases by reducing the number of issues litigated in rate cases and to provide a “more level playing field among intervenors and [New Mexico Public Regulation Commission staff] on the one hand and the utilities on the other.”</w:t>
            </w:r>
          </w:p>
          <w:p w14:paraId="38BB0D18" w14:textId="2EC77579" w:rsidR="00104C00" w:rsidRDefault="00104C00" w:rsidP="0061237E">
            <w:pPr>
              <w:rPr>
                <w:rFonts w:ascii="Arial" w:hAnsi="Arial" w:cs="Arial"/>
                <w:b/>
                <w:u w:val="single"/>
              </w:rPr>
            </w:pPr>
          </w:p>
          <w:p w14:paraId="34F27980" w14:textId="5BDA7829" w:rsidR="00F136F9" w:rsidRDefault="00F136F9" w:rsidP="0061237E">
            <w:pPr>
              <w:rPr>
                <w:rFonts w:ascii="Arial" w:hAnsi="Arial" w:cs="Arial"/>
                <w:bCs/>
              </w:rPr>
            </w:pPr>
            <w:r>
              <w:rPr>
                <w:rFonts w:ascii="Arial" w:hAnsi="Arial" w:cs="Arial"/>
                <w:b/>
              </w:rPr>
              <w:t xml:space="preserve">WA: </w:t>
            </w:r>
            <w:r w:rsidRPr="00F136F9">
              <w:rPr>
                <w:rFonts w:ascii="Arial" w:hAnsi="Arial" w:cs="Arial"/>
                <w:bCs/>
              </w:rPr>
              <w:t>The Washington Utilities and Transportation Commission has initiated a proceeding to examine alternative regulation frameworks.</w:t>
            </w:r>
          </w:p>
          <w:p w14:paraId="6740B168" w14:textId="77777777" w:rsidR="00F136F9" w:rsidRPr="00F136F9" w:rsidRDefault="00F136F9" w:rsidP="0061237E">
            <w:pPr>
              <w:rPr>
                <w:rFonts w:ascii="Arial" w:hAnsi="Arial" w:cs="Arial"/>
                <w:b/>
              </w:rPr>
            </w:pPr>
          </w:p>
          <w:p w14:paraId="7AF21620" w14:textId="7D4ACA31" w:rsidR="0066650B" w:rsidRDefault="0066650B" w:rsidP="0061237E">
            <w:pPr>
              <w:rPr>
                <w:rFonts w:ascii="Arial" w:hAnsi="Arial" w:cs="Arial"/>
                <w:b/>
                <w:u w:val="single"/>
              </w:rPr>
            </w:pPr>
            <w:r>
              <w:rPr>
                <w:rFonts w:ascii="Arial" w:hAnsi="Arial" w:cs="Arial"/>
                <w:b/>
                <w:u w:val="single"/>
              </w:rPr>
              <w:t>M&amp;A Activity</w:t>
            </w:r>
          </w:p>
          <w:p w14:paraId="393BB775" w14:textId="42F9CE82" w:rsidR="00CC0C0A" w:rsidRDefault="00CC0C0A" w:rsidP="0061237E">
            <w:pPr>
              <w:rPr>
                <w:rFonts w:ascii="Arial" w:hAnsi="Arial" w:cs="Arial"/>
                <w:b/>
                <w:u w:val="single"/>
              </w:rPr>
            </w:pPr>
          </w:p>
          <w:p w14:paraId="04742440" w14:textId="0CE9E119" w:rsidR="00CC0C0A" w:rsidRDefault="007B7918" w:rsidP="0061237E">
            <w:pPr>
              <w:rPr>
                <w:rFonts w:ascii="Arial" w:hAnsi="Arial" w:cs="Arial"/>
                <w:bCs/>
              </w:rPr>
            </w:pPr>
            <w:r>
              <w:rPr>
                <w:rFonts w:ascii="Arial" w:hAnsi="Arial" w:cs="Arial"/>
                <w:b/>
              </w:rPr>
              <w:t xml:space="preserve">MD: </w:t>
            </w:r>
            <w:r w:rsidR="00A126CE">
              <w:rPr>
                <w:rFonts w:ascii="Arial" w:hAnsi="Arial" w:cs="Arial"/>
                <w:bCs/>
              </w:rPr>
              <w:t xml:space="preserve">The </w:t>
            </w:r>
            <w:r w:rsidR="00A126CE" w:rsidRPr="00A126CE">
              <w:rPr>
                <w:rFonts w:ascii="Arial" w:hAnsi="Arial" w:cs="Arial"/>
                <w:bCs/>
              </w:rPr>
              <w:t>acquisition of Elkton Gas Co. by Chesapeake Utilities Corp. was announced on Dec. 9, 2019 through which Elkton would be purchased for $15 million. Currently, Elkton is owned by South Jersey Industries Inc., which acquired the company in 2018. A related filing was tendered to the Maryland Public Service Commission on Jan. 9, 2020</w:t>
            </w:r>
          </w:p>
          <w:p w14:paraId="036D2F90" w14:textId="0EC652A0" w:rsidR="00FF0BA3" w:rsidRDefault="00FF0BA3" w:rsidP="0061237E">
            <w:pPr>
              <w:rPr>
                <w:rFonts w:ascii="Arial" w:hAnsi="Arial" w:cs="Arial"/>
                <w:b/>
              </w:rPr>
            </w:pPr>
          </w:p>
          <w:p w14:paraId="695C7726" w14:textId="2FB84B43" w:rsidR="00FF0BA3" w:rsidRDefault="00FF0BA3" w:rsidP="0061237E">
            <w:pPr>
              <w:rPr>
                <w:rFonts w:ascii="Arial" w:hAnsi="Arial" w:cs="Arial"/>
                <w:bCs/>
              </w:rPr>
            </w:pPr>
            <w:r>
              <w:rPr>
                <w:rFonts w:ascii="Arial" w:hAnsi="Arial" w:cs="Arial"/>
                <w:b/>
              </w:rPr>
              <w:t xml:space="preserve">MA: </w:t>
            </w:r>
            <w:r w:rsidR="009E0B6B" w:rsidRPr="009E0B6B">
              <w:rPr>
                <w:rFonts w:ascii="Arial" w:hAnsi="Arial" w:cs="Arial"/>
                <w:bCs/>
              </w:rPr>
              <w:t>Eversource Energy announced a proposal to purchase Bay State Gas Co. for $1.1 billion on Feb. 26, 2020. The companies intend to engage in settlement negotiations with the Massachusetts attorney general.</w:t>
            </w:r>
          </w:p>
          <w:p w14:paraId="4C2C0DC0" w14:textId="5118525F" w:rsidR="009E0B6B" w:rsidRDefault="009E0B6B" w:rsidP="0061237E">
            <w:pPr>
              <w:rPr>
                <w:rFonts w:ascii="Arial" w:hAnsi="Arial" w:cs="Arial"/>
                <w:b/>
              </w:rPr>
            </w:pPr>
          </w:p>
          <w:p w14:paraId="2D1CD543" w14:textId="35ADAA49" w:rsidR="009E0B6B" w:rsidRDefault="009E0B6B" w:rsidP="0061237E">
            <w:pPr>
              <w:rPr>
                <w:rFonts w:ascii="Arial" w:hAnsi="Arial" w:cs="Arial"/>
                <w:bCs/>
              </w:rPr>
            </w:pPr>
            <w:r w:rsidRPr="00051F1F">
              <w:rPr>
                <w:rFonts w:ascii="Arial" w:hAnsi="Arial" w:cs="Arial"/>
                <w:b/>
              </w:rPr>
              <w:t>MA:</w:t>
            </w:r>
            <w:r w:rsidRPr="00051F1F">
              <w:rPr>
                <w:rFonts w:ascii="Arial" w:hAnsi="Arial" w:cs="Arial"/>
                <w:bCs/>
              </w:rPr>
              <w:t xml:space="preserve"> </w:t>
            </w:r>
            <w:r w:rsidR="00051F1F" w:rsidRPr="00051F1F">
              <w:rPr>
                <w:rFonts w:ascii="Arial" w:hAnsi="Arial" w:cs="Arial"/>
                <w:bCs/>
              </w:rPr>
              <w:t>Liberty Utilities (New England Natural Gas Co.) Corp. is seeking approval to acquire Blackstone Gas Co. for $5.5 million. Liberty proposed the transaction to Massachusetts regulators on Jan. 15, 2020</w:t>
            </w:r>
          </w:p>
          <w:p w14:paraId="626A877D" w14:textId="2BDC9F80" w:rsidR="00650541" w:rsidRDefault="00650541" w:rsidP="0061237E">
            <w:pPr>
              <w:rPr>
                <w:rFonts w:ascii="Arial" w:hAnsi="Arial" w:cs="Arial"/>
                <w:bCs/>
              </w:rPr>
            </w:pPr>
          </w:p>
          <w:p w14:paraId="0F7E8D27" w14:textId="2095C4A8" w:rsidR="00711497" w:rsidRPr="00711497" w:rsidRDefault="00650541" w:rsidP="007C222B">
            <w:pPr>
              <w:rPr>
                <w:rFonts w:ascii="Arial" w:hAnsi="Arial" w:cs="Arial"/>
                <w:b/>
              </w:rPr>
            </w:pPr>
            <w:r>
              <w:rPr>
                <w:rFonts w:ascii="Arial" w:hAnsi="Arial" w:cs="Arial"/>
                <w:b/>
              </w:rPr>
              <w:t xml:space="preserve">PA: </w:t>
            </w:r>
            <w:r w:rsidR="006E7D55" w:rsidRPr="006E7D55">
              <w:rPr>
                <w:rFonts w:ascii="Arial" w:hAnsi="Arial" w:cs="Arial"/>
                <w:bCs/>
              </w:rPr>
              <w:t>On January 16, the Pennsylvania Public Utility Commission voted four-to-one, with Commissioner Andrew Place dissenting, to approve, with modest modifications, an administrative law judge's recommendation approving the acquisition by Aqua America of Peoples Natural Gas and its Pennsylvania subsidiaries, subject to the conditions outlined in a non-unanimous settlement.</w:t>
            </w:r>
          </w:p>
        </w:tc>
      </w:tr>
      <w:tr w:rsidR="00DE3CEE" w:rsidRPr="00B51D1F" w14:paraId="5307172E" w14:textId="77777777" w:rsidTr="00956DEC">
        <w:trPr>
          <w:trHeight w:val="279"/>
        </w:trPr>
        <w:tc>
          <w:tcPr>
            <w:tcW w:w="8815" w:type="dxa"/>
            <w:gridSpan w:val="2"/>
            <w:tcBorders>
              <w:top w:val="nil"/>
            </w:tcBorders>
            <w:shd w:val="clear" w:color="auto" w:fill="1F4E79" w:themeFill="accent1" w:themeFillShade="80"/>
          </w:tcPr>
          <w:p w14:paraId="7E3BB120" w14:textId="77777777" w:rsidR="00DE3CEE" w:rsidRPr="001F5597" w:rsidRDefault="001A22FE" w:rsidP="001A22F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lastRenderedPageBreak/>
              <w:t xml:space="preserve">Rate Case Decisions </w:t>
            </w:r>
          </w:p>
        </w:tc>
      </w:tr>
      <w:tr w:rsidR="009B2D68" w:rsidRPr="00B51D1F" w14:paraId="73DD559A" w14:textId="77777777" w:rsidTr="00956DEC">
        <w:trPr>
          <w:trHeight w:val="279"/>
        </w:trPr>
        <w:tc>
          <w:tcPr>
            <w:tcW w:w="8815" w:type="dxa"/>
            <w:gridSpan w:val="2"/>
            <w:shd w:val="clear" w:color="auto" w:fill="1F4E79" w:themeFill="accent1" w:themeFillShade="80"/>
          </w:tcPr>
          <w:p w14:paraId="5211119B" w14:textId="2B3ACADC" w:rsidR="009B2D68" w:rsidRPr="00B51D1F" w:rsidRDefault="002A0267" w:rsidP="00376064">
            <w:pPr>
              <w:jc w:val="center"/>
              <w:rPr>
                <w:rFonts w:ascii="Arial" w:hAnsi="Arial" w:cs="Arial"/>
                <w:b/>
                <w:color w:val="FFFFFF" w:themeColor="background1"/>
              </w:rPr>
            </w:pPr>
            <w:r>
              <w:rPr>
                <w:rFonts w:ascii="Arial" w:hAnsi="Arial" w:cs="Arial"/>
                <w:b/>
                <w:color w:val="FFFFFF" w:themeColor="background1"/>
              </w:rPr>
              <w:t>January 15, 2020</w:t>
            </w:r>
          </w:p>
        </w:tc>
      </w:tr>
      <w:tr w:rsidR="009B2D68" w:rsidRPr="00B51D1F" w14:paraId="731B9891" w14:textId="77777777" w:rsidTr="00956DEC">
        <w:trPr>
          <w:trHeight w:val="279"/>
        </w:trPr>
        <w:tc>
          <w:tcPr>
            <w:tcW w:w="2111" w:type="dxa"/>
            <w:shd w:val="clear" w:color="auto" w:fill="1F4E79" w:themeFill="accent1" w:themeFillShade="80"/>
          </w:tcPr>
          <w:p w14:paraId="0D29DD2D" w14:textId="77777777"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Company</w:t>
            </w:r>
          </w:p>
        </w:tc>
        <w:tc>
          <w:tcPr>
            <w:tcW w:w="6704" w:type="dxa"/>
            <w:shd w:val="clear" w:color="auto" w:fill="auto"/>
          </w:tcPr>
          <w:p w14:paraId="1A16ADF0" w14:textId="4FCBDE8B" w:rsidR="009B2D68" w:rsidRPr="00B51D1F" w:rsidRDefault="00915FD8" w:rsidP="00C03B0F">
            <w:pPr>
              <w:rPr>
                <w:rFonts w:ascii="Arial" w:hAnsi="Arial" w:cs="Arial"/>
              </w:rPr>
            </w:pPr>
            <w:r>
              <w:rPr>
                <w:rFonts w:ascii="Arial" w:hAnsi="Arial" w:cs="Arial"/>
              </w:rPr>
              <w:t>MDU Resources Group Inc.</w:t>
            </w:r>
          </w:p>
        </w:tc>
      </w:tr>
      <w:tr w:rsidR="009B2D68" w:rsidRPr="00B51D1F" w14:paraId="29DFE65D" w14:textId="77777777" w:rsidTr="00956DEC">
        <w:trPr>
          <w:trHeight w:val="279"/>
        </w:trPr>
        <w:tc>
          <w:tcPr>
            <w:tcW w:w="2111" w:type="dxa"/>
            <w:shd w:val="clear" w:color="auto" w:fill="1F4E79" w:themeFill="accent1" w:themeFillShade="80"/>
          </w:tcPr>
          <w:p w14:paraId="04B8DE5A" w14:textId="77777777" w:rsidR="009B2D68" w:rsidRPr="00B51D1F" w:rsidRDefault="003A0B49" w:rsidP="005A2F42">
            <w:pPr>
              <w:rPr>
                <w:rFonts w:ascii="Arial" w:hAnsi="Arial" w:cs="Arial"/>
                <w:b/>
                <w:color w:val="FFFFFF" w:themeColor="background1"/>
              </w:rPr>
            </w:pPr>
            <w:r>
              <w:rPr>
                <w:rFonts w:ascii="Arial" w:hAnsi="Arial" w:cs="Arial"/>
                <w:b/>
                <w:color w:val="FFFFFF" w:themeColor="background1"/>
              </w:rPr>
              <w:t>State</w:t>
            </w:r>
          </w:p>
        </w:tc>
        <w:tc>
          <w:tcPr>
            <w:tcW w:w="6704" w:type="dxa"/>
            <w:shd w:val="clear" w:color="auto" w:fill="auto"/>
          </w:tcPr>
          <w:p w14:paraId="4336D6EC" w14:textId="01FCC9AA" w:rsidR="009B2D68" w:rsidRPr="00B51D1F" w:rsidRDefault="00915FD8" w:rsidP="00CD3DC9">
            <w:pPr>
              <w:rPr>
                <w:rFonts w:ascii="Arial" w:hAnsi="Arial" w:cs="Arial"/>
              </w:rPr>
            </w:pPr>
            <w:r>
              <w:rPr>
                <w:rFonts w:ascii="Arial" w:hAnsi="Arial" w:cs="Arial"/>
              </w:rPr>
              <w:t>Wyoming</w:t>
            </w:r>
          </w:p>
        </w:tc>
      </w:tr>
      <w:tr w:rsidR="009B2D68" w:rsidRPr="00B51D1F" w14:paraId="4E0D464F" w14:textId="77777777" w:rsidTr="00956DEC">
        <w:trPr>
          <w:trHeight w:val="279"/>
        </w:trPr>
        <w:tc>
          <w:tcPr>
            <w:tcW w:w="2111" w:type="dxa"/>
            <w:shd w:val="clear" w:color="auto" w:fill="1F4E79" w:themeFill="accent1" w:themeFillShade="80"/>
          </w:tcPr>
          <w:p w14:paraId="0D955455" w14:textId="77777777"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shd w:val="clear" w:color="auto" w:fill="auto"/>
          </w:tcPr>
          <w:p w14:paraId="34D0EC7D" w14:textId="43A21321" w:rsidR="009B2D68" w:rsidRPr="00E40DE3" w:rsidRDefault="0009189A" w:rsidP="004262A4">
            <w:pPr>
              <w:rPr>
                <w:rFonts w:ascii="Arial" w:hAnsi="Arial" w:cs="Arial"/>
                <w:color w:val="0000FF"/>
              </w:rPr>
            </w:pPr>
            <w:hyperlink r:id="rId13" w:history="1">
              <w:r w:rsidR="001D29CD" w:rsidRPr="001A2D76">
                <w:rPr>
                  <w:rStyle w:val="Hyperlink"/>
                  <w:rFonts w:ascii="Arial" w:hAnsi="Arial" w:cs="Arial"/>
                </w:rPr>
                <w:t>D</w:t>
              </w:r>
              <w:r w:rsidR="00C11F22" w:rsidRPr="001A2D76">
                <w:rPr>
                  <w:rStyle w:val="Hyperlink"/>
                  <w:rFonts w:ascii="Arial" w:hAnsi="Arial" w:cs="Arial"/>
                </w:rPr>
                <w:t>-30013-351-GR-19</w:t>
              </w:r>
            </w:hyperlink>
          </w:p>
        </w:tc>
      </w:tr>
      <w:tr w:rsidR="009B2D68" w:rsidRPr="00B51D1F" w14:paraId="5A241452" w14:textId="77777777" w:rsidTr="00956DEC">
        <w:trPr>
          <w:trHeight w:val="279"/>
        </w:trPr>
        <w:tc>
          <w:tcPr>
            <w:tcW w:w="2111" w:type="dxa"/>
            <w:shd w:val="clear" w:color="auto" w:fill="1F4E79" w:themeFill="accent1" w:themeFillShade="80"/>
          </w:tcPr>
          <w:p w14:paraId="6E4F28CD" w14:textId="77777777"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shd w:val="clear" w:color="auto" w:fill="auto"/>
          </w:tcPr>
          <w:p w14:paraId="6DDD3416" w14:textId="5F34625F" w:rsidR="009B2D68" w:rsidRPr="00B51D1F" w:rsidRDefault="003153D5" w:rsidP="006F213E">
            <w:pPr>
              <w:rPr>
                <w:rFonts w:ascii="Arial" w:hAnsi="Arial" w:cs="Arial"/>
              </w:rPr>
            </w:pPr>
            <w:r>
              <w:rPr>
                <w:rFonts w:ascii="Arial" w:hAnsi="Arial" w:cs="Arial"/>
              </w:rPr>
              <w:t>$</w:t>
            </w:r>
            <w:r w:rsidR="00962903">
              <w:rPr>
                <w:rFonts w:ascii="Arial" w:hAnsi="Arial" w:cs="Arial"/>
              </w:rPr>
              <w:t>827,601</w:t>
            </w:r>
          </w:p>
        </w:tc>
      </w:tr>
      <w:tr w:rsidR="009B2D68" w:rsidRPr="00B51D1F" w14:paraId="13211B0B" w14:textId="77777777" w:rsidTr="00956DEC">
        <w:trPr>
          <w:trHeight w:val="279"/>
        </w:trPr>
        <w:tc>
          <w:tcPr>
            <w:tcW w:w="2111" w:type="dxa"/>
            <w:shd w:val="clear" w:color="auto" w:fill="1F4E79" w:themeFill="accent1" w:themeFillShade="80"/>
          </w:tcPr>
          <w:p w14:paraId="352C7005" w14:textId="77777777"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shd w:val="clear" w:color="auto" w:fill="auto"/>
          </w:tcPr>
          <w:p w14:paraId="04D24EAE" w14:textId="32323369" w:rsidR="009B2D68" w:rsidRPr="00B51D1F" w:rsidRDefault="0004288F" w:rsidP="005D2082">
            <w:pPr>
              <w:rPr>
                <w:rFonts w:ascii="Arial" w:hAnsi="Arial" w:cs="Arial"/>
              </w:rPr>
            </w:pPr>
            <w:r>
              <w:rPr>
                <w:rFonts w:ascii="Arial" w:hAnsi="Arial" w:cs="Arial"/>
              </w:rPr>
              <w:t>9.</w:t>
            </w:r>
            <w:r w:rsidR="00CD270B">
              <w:rPr>
                <w:rFonts w:ascii="Arial" w:hAnsi="Arial" w:cs="Arial"/>
              </w:rPr>
              <w:t>35</w:t>
            </w:r>
            <w:r>
              <w:rPr>
                <w:rFonts w:ascii="Arial" w:hAnsi="Arial" w:cs="Arial"/>
              </w:rPr>
              <w:t>%</w:t>
            </w:r>
          </w:p>
        </w:tc>
      </w:tr>
      <w:tr w:rsidR="005A2F42" w:rsidRPr="00B51D1F" w14:paraId="30BD66A7" w14:textId="77777777" w:rsidTr="00956DEC">
        <w:trPr>
          <w:trHeight w:val="279"/>
        </w:trPr>
        <w:tc>
          <w:tcPr>
            <w:tcW w:w="2111" w:type="dxa"/>
            <w:shd w:val="clear" w:color="auto" w:fill="1F4E79" w:themeFill="accent1" w:themeFillShade="80"/>
          </w:tcPr>
          <w:p w14:paraId="78172074" w14:textId="77777777" w:rsidR="005A2F42" w:rsidRPr="00B51D1F" w:rsidRDefault="005A2F42" w:rsidP="005A2F42">
            <w:pPr>
              <w:rPr>
                <w:rFonts w:ascii="Arial" w:hAnsi="Arial" w:cs="Arial"/>
                <w:b/>
                <w:color w:val="FFFFFF" w:themeColor="background1"/>
              </w:rPr>
            </w:pPr>
            <w:r w:rsidRPr="00B51D1F">
              <w:rPr>
                <w:rFonts w:ascii="Arial" w:hAnsi="Arial" w:cs="Arial"/>
                <w:b/>
                <w:color w:val="FFFFFF" w:themeColor="background1"/>
              </w:rPr>
              <w:t>Intervenors</w:t>
            </w:r>
          </w:p>
        </w:tc>
        <w:tc>
          <w:tcPr>
            <w:tcW w:w="6704" w:type="dxa"/>
            <w:shd w:val="clear" w:color="auto" w:fill="auto"/>
          </w:tcPr>
          <w:p w14:paraId="2A44E978" w14:textId="1C256AF5" w:rsidR="005A2F42" w:rsidRPr="00B51D1F" w:rsidRDefault="00720B02" w:rsidP="00FD1550">
            <w:pPr>
              <w:rPr>
                <w:rFonts w:ascii="Arial" w:hAnsi="Arial" w:cs="Arial"/>
              </w:rPr>
            </w:pPr>
            <w:r>
              <w:rPr>
                <w:rFonts w:ascii="Arial" w:hAnsi="Arial" w:cs="Arial"/>
              </w:rPr>
              <w:t>Wyoming Office of Consumer Advocate</w:t>
            </w:r>
          </w:p>
        </w:tc>
      </w:tr>
      <w:tr w:rsidR="005A2F42" w:rsidRPr="00B51D1F" w14:paraId="49316DE4" w14:textId="77777777" w:rsidTr="00956DEC">
        <w:trPr>
          <w:trHeight w:val="287"/>
        </w:trPr>
        <w:tc>
          <w:tcPr>
            <w:tcW w:w="8815" w:type="dxa"/>
            <w:gridSpan w:val="2"/>
            <w:shd w:val="clear" w:color="auto" w:fill="1F4E79" w:themeFill="accent1" w:themeFillShade="80"/>
          </w:tcPr>
          <w:p w14:paraId="6D17E823" w14:textId="77777777" w:rsidR="005A2F42" w:rsidRPr="00B51D1F" w:rsidRDefault="005A2F42" w:rsidP="009B2D68">
            <w:pPr>
              <w:jc w:val="center"/>
              <w:rPr>
                <w:rFonts w:ascii="Arial" w:hAnsi="Arial" w:cs="Arial"/>
                <w:b/>
                <w:color w:val="FFFFFF" w:themeColor="background1"/>
              </w:rPr>
            </w:pPr>
            <w:r w:rsidRPr="00B51D1F">
              <w:rPr>
                <w:rFonts w:ascii="Arial" w:hAnsi="Arial" w:cs="Arial"/>
                <w:b/>
                <w:color w:val="FFFFFF" w:themeColor="background1"/>
              </w:rPr>
              <w:t>Case Summary</w:t>
            </w:r>
          </w:p>
        </w:tc>
      </w:tr>
      <w:tr w:rsidR="005A2F42" w:rsidRPr="00B51D1F" w14:paraId="48C3E785" w14:textId="77777777" w:rsidTr="00956DEC">
        <w:trPr>
          <w:trHeight w:val="279"/>
        </w:trPr>
        <w:tc>
          <w:tcPr>
            <w:tcW w:w="8815" w:type="dxa"/>
            <w:gridSpan w:val="2"/>
            <w:shd w:val="clear" w:color="auto" w:fill="auto"/>
          </w:tcPr>
          <w:p w14:paraId="7D343E10" w14:textId="64F82944" w:rsidR="005471DE" w:rsidRDefault="009B0946" w:rsidP="0004288F">
            <w:pPr>
              <w:rPr>
                <w:rFonts w:ascii="Arial" w:hAnsi="Arial" w:cs="Arial"/>
              </w:rPr>
            </w:pPr>
            <w:r w:rsidRPr="009B0946">
              <w:rPr>
                <w:rFonts w:ascii="Arial" w:hAnsi="Arial" w:cs="Arial"/>
              </w:rPr>
              <w:t xml:space="preserve">On </w:t>
            </w:r>
            <w:r w:rsidR="001661AB">
              <w:rPr>
                <w:rFonts w:ascii="Arial" w:hAnsi="Arial" w:cs="Arial"/>
              </w:rPr>
              <w:t>December 17, 2019</w:t>
            </w:r>
            <w:r w:rsidRPr="009B0946">
              <w:rPr>
                <w:rFonts w:ascii="Arial" w:hAnsi="Arial" w:cs="Arial"/>
              </w:rPr>
              <w:t>, a settlement between MDU and the Wyoming Office of Consumer Advocate was filed with the commission. The settlement called for an $830,036 (5.5%) gas rate increase based on a 9.35% return on equity (51.246% of capital) and a 7.081% overall return on a rate base valued at $14,932,462.</w:t>
            </w:r>
            <w:r w:rsidRPr="009B0946">
              <w:rPr>
                <w:rFonts w:ascii="Arial" w:hAnsi="Arial" w:cs="Arial"/>
              </w:rPr>
              <w:br/>
            </w:r>
            <w:r w:rsidRPr="009B0946">
              <w:rPr>
                <w:rFonts w:ascii="Arial" w:hAnsi="Arial" w:cs="Arial"/>
              </w:rPr>
              <w:br/>
              <w:t>During a public meeting</w:t>
            </w:r>
            <w:r w:rsidR="001661AB">
              <w:rPr>
                <w:rFonts w:ascii="Arial" w:hAnsi="Arial" w:cs="Arial"/>
              </w:rPr>
              <w:t xml:space="preserve"> on January 1</w:t>
            </w:r>
            <w:r w:rsidR="009564B2">
              <w:rPr>
                <w:rFonts w:ascii="Arial" w:hAnsi="Arial" w:cs="Arial"/>
              </w:rPr>
              <w:t>5</w:t>
            </w:r>
            <w:r w:rsidR="001661AB">
              <w:rPr>
                <w:rFonts w:ascii="Arial" w:hAnsi="Arial" w:cs="Arial"/>
              </w:rPr>
              <w:t>, 2020</w:t>
            </w:r>
            <w:r w:rsidRPr="009B0946">
              <w:rPr>
                <w:rFonts w:ascii="Arial" w:hAnsi="Arial" w:cs="Arial"/>
              </w:rPr>
              <w:t>, the commission voted to approve a settlement, with certain modifications that affected the utility's revenue requir</w:t>
            </w:r>
            <w:r w:rsidR="00443F44">
              <w:rPr>
                <w:rFonts w:ascii="Arial" w:hAnsi="Arial" w:cs="Arial"/>
              </w:rPr>
              <w:t>e</w:t>
            </w:r>
            <w:r w:rsidRPr="009B0946">
              <w:rPr>
                <w:rFonts w:ascii="Arial" w:hAnsi="Arial" w:cs="Arial"/>
              </w:rPr>
              <w:t>ment and rate base.</w:t>
            </w:r>
            <w:r w:rsidRPr="009B0946">
              <w:rPr>
                <w:rFonts w:ascii="Arial" w:hAnsi="Arial" w:cs="Arial"/>
              </w:rPr>
              <w:br/>
            </w:r>
            <w:r w:rsidRPr="009B0946">
              <w:rPr>
                <w:rFonts w:ascii="Arial" w:hAnsi="Arial" w:cs="Arial"/>
              </w:rPr>
              <w:br/>
              <w:t xml:space="preserve">On </w:t>
            </w:r>
            <w:r w:rsidR="001661AB">
              <w:rPr>
                <w:rFonts w:ascii="Arial" w:hAnsi="Arial" w:cs="Arial"/>
              </w:rPr>
              <w:t>February 3</w:t>
            </w:r>
            <w:r w:rsidRPr="009B0946">
              <w:rPr>
                <w:rFonts w:ascii="Arial" w:hAnsi="Arial" w:cs="Arial"/>
              </w:rPr>
              <w:t>,</w:t>
            </w:r>
            <w:r w:rsidR="00D16B9F">
              <w:rPr>
                <w:rFonts w:ascii="Arial" w:hAnsi="Arial" w:cs="Arial"/>
              </w:rPr>
              <w:t xml:space="preserve"> 2020,</w:t>
            </w:r>
            <w:r w:rsidRPr="009B0946">
              <w:rPr>
                <w:rFonts w:ascii="Arial" w:hAnsi="Arial" w:cs="Arial"/>
              </w:rPr>
              <w:t xml:space="preserve"> MDU submitted a compliance filing to the commission, which specified the modified revenue requirement and rate base. Following a commission staff review, MDU would be authorized an $827,601 (5.48%) gas rate increase reflecting a 9.35% return on equity (51.246% of capital) and a 7.081% overall return on a rate base valued at $14,870,389. The new rates are to go into effect on or after March 1, 2020.</w:t>
            </w:r>
            <w:r w:rsidRPr="009B0946">
              <w:rPr>
                <w:rFonts w:ascii="Arial" w:hAnsi="Arial" w:cs="Arial"/>
              </w:rPr>
              <w:br/>
            </w:r>
            <w:r w:rsidRPr="009B0946">
              <w:rPr>
                <w:rFonts w:ascii="Arial" w:hAnsi="Arial" w:cs="Arial"/>
              </w:rPr>
              <w:br/>
              <w:t xml:space="preserve">A final order is expected to be issued </w:t>
            </w:r>
            <w:proofErr w:type="gramStart"/>
            <w:r w:rsidRPr="009B0946">
              <w:rPr>
                <w:rFonts w:ascii="Arial" w:hAnsi="Arial" w:cs="Arial"/>
              </w:rPr>
              <w:t>in the near future</w:t>
            </w:r>
            <w:proofErr w:type="gramEnd"/>
            <w:r w:rsidRPr="009B0946">
              <w:rPr>
                <w:rFonts w:ascii="Arial" w:hAnsi="Arial" w:cs="Arial"/>
              </w:rPr>
              <w:t>.</w:t>
            </w:r>
          </w:p>
          <w:p w14:paraId="1F540114" w14:textId="74BA1AE7" w:rsidR="00956DEC" w:rsidRDefault="00956DEC" w:rsidP="0004288F">
            <w:pPr>
              <w:rPr>
                <w:rFonts w:ascii="Arial" w:hAnsi="Arial" w:cs="Arial"/>
              </w:rPr>
            </w:pPr>
          </w:p>
          <w:p w14:paraId="22A70A6E" w14:textId="7D47D0D5" w:rsidR="00956DEC" w:rsidRDefault="00956DEC" w:rsidP="0004288F">
            <w:pPr>
              <w:rPr>
                <w:rFonts w:ascii="Arial" w:hAnsi="Arial" w:cs="Arial"/>
              </w:rPr>
            </w:pPr>
          </w:p>
          <w:p w14:paraId="47238865" w14:textId="39345ED6" w:rsidR="00956DEC" w:rsidRDefault="00956DEC" w:rsidP="0004288F">
            <w:pPr>
              <w:rPr>
                <w:rFonts w:ascii="Arial" w:hAnsi="Arial" w:cs="Arial"/>
              </w:rPr>
            </w:pPr>
          </w:p>
          <w:p w14:paraId="292710E9" w14:textId="5AC073F7" w:rsidR="00956DEC" w:rsidRDefault="00956DEC" w:rsidP="0004288F">
            <w:pPr>
              <w:rPr>
                <w:rFonts w:ascii="Arial" w:hAnsi="Arial" w:cs="Arial"/>
              </w:rPr>
            </w:pPr>
          </w:p>
          <w:p w14:paraId="242DA2D9" w14:textId="05CD29B0" w:rsidR="00956DEC" w:rsidRDefault="00956DEC" w:rsidP="0004288F">
            <w:pPr>
              <w:rPr>
                <w:rFonts w:ascii="Arial" w:hAnsi="Arial" w:cs="Arial"/>
              </w:rPr>
            </w:pPr>
          </w:p>
          <w:p w14:paraId="2AC50A06" w14:textId="641E4DC9" w:rsidR="00956DEC" w:rsidRDefault="00956DEC" w:rsidP="0004288F">
            <w:pPr>
              <w:rPr>
                <w:rFonts w:ascii="Arial" w:hAnsi="Arial" w:cs="Arial"/>
              </w:rPr>
            </w:pPr>
          </w:p>
          <w:p w14:paraId="799B0E67" w14:textId="2CA6176E" w:rsidR="00956DEC" w:rsidRDefault="00956DEC" w:rsidP="0004288F">
            <w:pPr>
              <w:rPr>
                <w:rFonts w:ascii="Arial" w:hAnsi="Arial" w:cs="Arial"/>
              </w:rPr>
            </w:pPr>
          </w:p>
          <w:p w14:paraId="7ADDABDA" w14:textId="2516C2AF" w:rsidR="00711497" w:rsidRDefault="00711497" w:rsidP="0004288F">
            <w:pPr>
              <w:rPr>
                <w:rFonts w:ascii="Arial" w:hAnsi="Arial" w:cs="Arial"/>
              </w:rPr>
            </w:pPr>
          </w:p>
          <w:p w14:paraId="75376A0B" w14:textId="69EC2A38" w:rsidR="00711497" w:rsidRDefault="00711497" w:rsidP="0004288F">
            <w:pPr>
              <w:rPr>
                <w:rFonts w:ascii="Arial" w:hAnsi="Arial" w:cs="Arial"/>
              </w:rPr>
            </w:pPr>
          </w:p>
          <w:p w14:paraId="241C9ADC" w14:textId="786DAEB4" w:rsidR="00711497" w:rsidRDefault="00711497" w:rsidP="0004288F">
            <w:pPr>
              <w:rPr>
                <w:rFonts w:ascii="Arial" w:hAnsi="Arial" w:cs="Arial"/>
              </w:rPr>
            </w:pPr>
          </w:p>
          <w:p w14:paraId="22D425DB" w14:textId="3FBCFCC7" w:rsidR="00711497" w:rsidRDefault="00711497" w:rsidP="0004288F">
            <w:pPr>
              <w:rPr>
                <w:rFonts w:ascii="Arial" w:hAnsi="Arial" w:cs="Arial"/>
              </w:rPr>
            </w:pPr>
          </w:p>
          <w:p w14:paraId="503A3D4D" w14:textId="654E9919" w:rsidR="00711497" w:rsidRDefault="00711497" w:rsidP="0004288F">
            <w:pPr>
              <w:rPr>
                <w:rFonts w:ascii="Arial" w:hAnsi="Arial" w:cs="Arial"/>
              </w:rPr>
            </w:pPr>
          </w:p>
          <w:p w14:paraId="13544407" w14:textId="22C28242" w:rsidR="00711497" w:rsidRDefault="00711497" w:rsidP="0004288F">
            <w:pPr>
              <w:rPr>
                <w:rFonts w:ascii="Arial" w:hAnsi="Arial" w:cs="Arial"/>
              </w:rPr>
            </w:pPr>
          </w:p>
          <w:p w14:paraId="1B0BDCEB" w14:textId="3126ED07" w:rsidR="00711497" w:rsidRDefault="00711497" w:rsidP="0004288F">
            <w:pPr>
              <w:rPr>
                <w:rFonts w:ascii="Arial" w:hAnsi="Arial" w:cs="Arial"/>
              </w:rPr>
            </w:pPr>
          </w:p>
          <w:p w14:paraId="3D5FEE39" w14:textId="2442E1E4" w:rsidR="00711497" w:rsidRDefault="00711497" w:rsidP="0004288F">
            <w:pPr>
              <w:rPr>
                <w:rFonts w:ascii="Arial" w:hAnsi="Arial" w:cs="Arial"/>
              </w:rPr>
            </w:pPr>
          </w:p>
          <w:p w14:paraId="34E0B1DC" w14:textId="2B140A15" w:rsidR="00711497" w:rsidRDefault="00711497" w:rsidP="0004288F">
            <w:pPr>
              <w:rPr>
                <w:rFonts w:ascii="Arial" w:hAnsi="Arial" w:cs="Arial"/>
              </w:rPr>
            </w:pPr>
          </w:p>
          <w:p w14:paraId="3AD39435" w14:textId="77777777" w:rsidR="00711497" w:rsidRDefault="00711497" w:rsidP="0004288F">
            <w:pPr>
              <w:rPr>
                <w:rFonts w:ascii="Arial" w:hAnsi="Arial" w:cs="Arial"/>
              </w:rPr>
            </w:pPr>
          </w:p>
          <w:p w14:paraId="1EB2B484" w14:textId="647F30F0" w:rsidR="00601529" w:rsidRPr="00C01EA6" w:rsidRDefault="00601529" w:rsidP="0004288F">
            <w:pPr>
              <w:rPr>
                <w:rFonts w:ascii="Arial" w:hAnsi="Arial" w:cs="Arial"/>
              </w:rPr>
            </w:pPr>
          </w:p>
        </w:tc>
      </w:tr>
      <w:tr w:rsidR="008209DD" w:rsidRPr="00B51D1F" w14:paraId="7259DC6E" w14:textId="77777777" w:rsidTr="00956DEC">
        <w:trPr>
          <w:trHeight w:val="279"/>
        </w:trPr>
        <w:tc>
          <w:tcPr>
            <w:tcW w:w="8815" w:type="dxa"/>
            <w:gridSpan w:val="2"/>
            <w:shd w:val="clear" w:color="auto" w:fill="1F4E79" w:themeFill="accent1" w:themeFillShade="80"/>
          </w:tcPr>
          <w:p w14:paraId="1E95C2AB" w14:textId="1559F30E" w:rsidR="008209DD" w:rsidRPr="00B51D1F" w:rsidRDefault="0057457B" w:rsidP="005F3DEB">
            <w:pPr>
              <w:jc w:val="center"/>
              <w:rPr>
                <w:rFonts w:ascii="Arial" w:hAnsi="Arial" w:cs="Arial"/>
                <w:b/>
                <w:color w:val="FFFFFF" w:themeColor="background1"/>
              </w:rPr>
            </w:pPr>
            <w:r>
              <w:rPr>
                <w:rFonts w:ascii="Arial" w:hAnsi="Arial" w:cs="Arial"/>
                <w:b/>
                <w:color w:val="FFFFFF" w:themeColor="background1"/>
              </w:rPr>
              <w:lastRenderedPageBreak/>
              <w:t>January 16, 2020</w:t>
            </w:r>
          </w:p>
        </w:tc>
      </w:tr>
      <w:tr w:rsidR="008209DD" w:rsidRPr="00B51D1F" w14:paraId="68AECFCF" w14:textId="77777777" w:rsidTr="00956DEC">
        <w:trPr>
          <w:trHeight w:val="279"/>
        </w:trPr>
        <w:tc>
          <w:tcPr>
            <w:tcW w:w="2111" w:type="dxa"/>
            <w:shd w:val="clear" w:color="auto" w:fill="1F4E79" w:themeFill="accent1" w:themeFillShade="80"/>
          </w:tcPr>
          <w:p w14:paraId="7C6A5EA5" w14:textId="77777777" w:rsidR="008209DD" w:rsidRPr="00B51D1F" w:rsidRDefault="008209DD" w:rsidP="00AD3B4B">
            <w:pPr>
              <w:rPr>
                <w:rFonts w:ascii="Arial" w:hAnsi="Arial" w:cs="Arial"/>
                <w:b/>
                <w:color w:val="FFFFFF" w:themeColor="background1"/>
              </w:rPr>
            </w:pPr>
            <w:r w:rsidRPr="00B51D1F">
              <w:rPr>
                <w:rFonts w:ascii="Arial" w:hAnsi="Arial" w:cs="Arial"/>
                <w:b/>
                <w:color w:val="FFFFFF" w:themeColor="background1"/>
              </w:rPr>
              <w:t>Company</w:t>
            </w:r>
          </w:p>
        </w:tc>
        <w:tc>
          <w:tcPr>
            <w:tcW w:w="6704" w:type="dxa"/>
            <w:shd w:val="clear" w:color="auto" w:fill="FFFFFF" w:themeFill="background1"/>
          </w:tcPr>
          <w:p w14:paraId="17BDD55B" w14:textId="3D5DB2EC" w:rsidR="008209DD" w:rsidRPr="00B51D1F" w:rsidRDefault="00CB0F8B" w:rsidP="00C34414">
            <w:pPr>
              <w:rPr>
                <w:rFonts w:ascii="Arial" w:hAnsi="Arial" w:cs="Arial"/>
              </w:rPr>
            </w:pPr>
            <w:r w:rsidRPr="00CB0F8B">
              <w:rPr>
                <w:rFonts w:ascii="Arial" w:hAnsi="Arial" w:cs="Arial"/>
              </w:rPr>
              <w:t>Consolidated Edison Company of New York, Inc.</w:t>
            </w:r>
          </w:p>
        </w:tc>
      </w:tr>
      <w:tr w:rsidR="008209DD" w:rsidRPr="00B51D1F" w14:paraId="3F7A5AF9" w14:textId="77777777" w:rsidTr="00956DEC">
        <w:trPr>
          <w:trHeight w:val="279"/>
        </w:trPr>
        <w:tc>
          <w:tcPr>
            <w:tcW w:w="2111" w:type="dxa"/>
            <w:shd w:val="clear" w:color="auto" w:fill="1F4E79" w:themeFill="accent1" w:themeFillShade="80"/>
          </w:tcPr>
          <w:p w14:paraId="15672A8B" w14:textId="77777777" w:rsidR="008209DD" w:rsidRPr="00B51D1F" w:rsidRDefault="003A0B49" w:rsidP="00AD3B4B">
            <w:pPr>
              <w:rPr>
                <w:rFonts w:ascii="Arial" w:hAnsi="Arial" w:cs="Arial"/>
                <w:b/>
                <w:color w:val="FFFFFF" w:themeColor="background1"/>
              </w:rPr>
            </w:pPr>
            <w:r>
              <w:rPr>
                <w:rFonts w:ascii="Arial" w:hAnsi="Arial" w:cs="Arial"/>
                <w:b/>
                <w:color w:val="FFFFFF" w:themeColor="background1"/>
              </w:rPr>
              <w:t>State</w:t>
            </w:r>
          </w:p>
        </w:tc>
        <w:tc>
          <w:tcPr>
            <w:tcW w:w="6704" w:type="dxa"/>
            <w:shd w:val="clear" w:color="auto" w:fill="FFFFFF" w:themeFill="background1"/>
          </w:tcPr>
          <w:p w14:paraId="31D7D104" w14:textId="0EF7AB67" w:rsidR="008209DD" w:rsidRPr="00B51D1F" w:rsidRDefault="00CB0F8B" w:rsidP="00CD3DC9">
            <w:pPr>
              <w:rPr>
                <w:rFonts w:ascii="Arial" w:hAnsi="Arial" w:cs="Arial"/>
              </w:rPr>
            </w:pPr>
            <w:r>
              <w:rPr>
                <w:rFonts w:ascii="Arial" w:hAnsi="Arial" w:cs="Arial"/>
              </w:rPr>
              <w:t>New York</w:t>
            </w:r>
            <w:r w:rsidR="00715A60">
              <w:rPr>
                <w:rFonts w:ascii="Arial" w:hAnsi="Arial" w:cs="Arial"/>
              </w:rPr>
              <w:t xml:space="preserve"> </w:t>
            </w:r>
          </w:p>
        </w:tc>
      </w:tr>
      <w:tr w:rsidR="00644EA0" w:rsidRPr="00B51D1F" w14:paraId="267276AC" w14:textId="77777777" w:rsidTr="00956DEC">
        <w:trPr>
          <w:trHeight w:val="279"/>
        </w:trPr>
        <w:tc>
          <w:tcPr>
            <w:tcW w:w="2111" w:type="dxa"/>
            <w:shd w:val="clear" w:color="auto" w:fill="1F4E79" w:themeFill="accent1" w:themeFillShade="80"/>
          </w:tcPr>
          <w:p w14:paraId="5400D819" w14:textId="77777777"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shd w:val="clear" w:color="auto" w:fill="FFFFFF" w:themeFill="background1"/>
          </w:tcPr>
          <w:p w14:paraId="3F6F2886" w14:textId="14DB0E0F" w:rsidR="00644EA0" w:rsidRPr="00715A60" w:rsidRDefault="0009189A" w:rsidP="00644EA0">
            <w:pPr>
              <w:rPr>
                <w:rFonts w:ascii="Arial" w:hAnsi="Arial" w:cs="Arial"/>
                <w:color w:val="0000FF"/>
                <w:u w:val="single"/>
              </w:rPr>
            </w:pPr>
            <w:hyperlink r:id="rId14" w:history="1">
              <w:r w:rsidR="006A7F62" w:rsidRPr="000A7185">
                <w:rPr>
                  <w:rStyle w:val="Hyperlink"/>
                  <w:rFonts w:ascii="Arial" w:hAnsi="Arial" w:cs="Arial"/>
                </w:rPr>
                <w:t>C-19-G-0066</w:t>
              </w:r>
            </w:hyperlink>
          </w:p>
        </w:tc>
      </w:tr>
      <w:tr w:rsidR="00644EA0" w:rsidRPr="00B51D1F" w14:paraId="7539149A" w14:textId="77777777" w:rsidTr="00956DEC">
        <w:trPr>
          <w:trHeight w:val="279"/>
        </w:trPr>
        <w:tc>
          <w:tcPr>
            <w:tcW w:w="2111" w:type="dxa"/>
            <w:shd w:val="clear" w:color="auto" w:fill="1F4E79" w:themeFill="accent1" w:themeFillShade="80"/>
          </w:tcPr>
          <w:p w14:paraId="103F5DBC" w14:textId="77777777"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shd w:val="clear" w:color="auto" w:fill="FFFFFF" w:themeFill="background1"/>
          </w:tcPr>
          <w:p w14:paraId="69FBA014" w14:textId="283B5269" w:rsidR="00644EA0" w:rsidRPr="001810C6" w:rsidRDefault="00715A60" w:rsidP="001810C6">
            <w:pPr>
              <w:rPr>
                <w:rFonts w:ascii="Arial" w:hAnsi="Arial" w:cs="Arial"/>
              </w:rPr>
            </w:pPr>
            <w:r>
              <w:rPr>
                <w:rFonts w:ascii="Arial" w:hAnsi="Arial" w:cs="Arial"/>
              </w:rPr>
              <w:t>$</w:t>
            </w:r>
            <w:r w:rsidR="00F142C3">
              <w:rPr>
                <w:rFonts w:ascii="Arial" w:hAnsi="Arial" w:cs="Arial"/>
              </w:rPr>
              <w:t>83,923,000</w:t>
            </w:r>
          </w:p>
        </w:tc>
      </w:tr>
      <w:tr w:rsidR="00644EA0" w:rsidRPr="00B51D1F" w14:paraId="72920B69" w14:textId="77777777" w:rsidTr="00956DEC">
        <w:trPr>
          <w:trHeight w:val="279"/>
        </w:trPr>
        <w:tc>
          <w:tcPr>
            <w:tcW w:w="2111" w:type="dxa"/>
            <w:shd w:val="clear" w:color="auto" w:fill="1F4E79" w:themeFill="accent1" w:themeFillShade="80"/>
          </w:tcPr>
          <w:p w14:paraId="29D84305" w14:textId="77777777"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shd w:val="clear" w:color="auto" w:fill="FFFFFF" w:themeFill="background1"/>
          </w:tcPr>
          <w:p w14:paraId="688FE005" w14:textId="20D14305" w:rsidR="00644EA0" w:rsidRPr="00B51D1F" w:rsidRDefault="00DA38B6" w:rsidP="00644EA0">
            <w:pPr>
              <w:rPr>
                <w:rFonts w:ascii="Arial" w:hAnsi="Arial" w:cs="Arial"/>
              </w:rPr>
            </w:pPr>
            <w:r>
              <w:rPr>
                <w:rFonts w:ascii="Arial" w:hAnsi="Arial" w:cs="Arial"/>
              </w:rPr>
              <w:t>8.80%</w:t>
            </w:r>
          </w:p>
        </w:tc>
      </w:tr>
      <w:tr w:rsidR="006531A4" w:rsidRPr="00B51D1F" w14:paraId="51337BCF" w14:textId="77777777" w:rsidTr="00956DEC">
        <w:trPr>
          <w:trHeight w:val="279"/>
        </w:trPr>
        <w:tc>
          <w:tcPr>
            <w:tcW w:w="2111" w:type="dxa"/>
            <w:shd w:val="clear" w:color="auto" w:fill="1F4E79" w:themeFill="accent1" w:themeFillShade="80"/>
          </w:tcPr>
          <w:p w14:paraId="67CCB50D"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6704" w:type="dxa"/>
            <w:shd w:val="clear" w:color="auto" w:fill="FFFFFF" w:themeFill="background1"/>
          </w:tcPr>
          <w:p w14:paraId="334AA1F1" w14:textId="39BBED75" w:rsidR="006531A4" w:rsidRPr="00B51D1F" w:rsidRDefault="009F3FCA" w:rsidP="009F3FCA">
            <w:pPr>
              <w:rPr>
                <w:rFonts w:ascii="Arial" w:hAnsi="Arial" w:cs="Arial"/>
              </w:rPr>
            </w:pPr>
            <w:r w:rsidRPr="009F3FCA">
              <w:rPr>
                <w:rFonts w:ascii="Arial" w:hAnsi="Arial" w:cs="Arial"/>
              </w:rPr>
              <w:t>Sane Energy Projec</w:t>
            </w:r>
            <w:r>
              <w:rPr>
                <w:rFonts w:ascii="Arial" w:hAnsi="Arial" w:cs="Arial"/>
              </w:rPr>
              <w:t xml:space="preserve">t, </w:t>
            </w:r>
            <w:r w:rsidR="00FA28BD">
              <w:rPr>
                <w:rFonts w:ascii="Arial" w:hAnsi="Arial" w:cs="Arial"/>
              </w:rPr>
              <w:t>Bob Wyman, Samantha Wilt</w:t>
            </w:r>
            <w:r w:rsidR="001440C5">
              <w:rPr>
                <w:rFonts w:ascii="Arial" w:hAnsi="Arial" w:cs="Arial"/>
              </w:rPr>
              <w:t xml:space="preserve">, </w:t>
            </w:r>
            <w:r w:rsidR="00BD7F45">
              <w:rPr>
                <w:rFonts w:ascii="Arial" w:hAnsi="Arial" w:cs="Arial"/>
              </w:rPr>
              <w:t xml:space="preserve">City of New York, </w:t>
            </w:r>
            <w:r w:rsidR="00BD7F45" w:rsidRPr="00BD7F45">
              <w:rPr>
                <w:rFonts w:ascii="Arial" w:hAnsi="Arial" w:cs="Arial"/>
              </w:rPr>
              <w:t>Consolidated Edison Company of New York, Inc.</w:t>
            </w:r>
            <w:r w:rsidR="00BD7F45">
              <w:rPr>
                <w:rFonts w:ascii="Arial" w:hAnsi="Arial" w:cs="Arial"/>
              </w:rPr>
              <w:t>, Citizen’ Environmental Coalition</w:t>
            </w:r>
            <w:r w:rsidR="00C9146D">
              <w:rPr>
                <w:rFonts w:ascii="Arial" w:hAnsi="Arial" w:cs="Arial"/>
              </w:rPr>
              <w:t>, Pace Energy and Climate Center, Association for Energy Affordability, Environmental Defense Fund, United States General Services Administration</w:t>
            </w:r>
            <w:r w:rsidR="003E6232">
              <w:rPr>
                <w:rFonts w:ascii="Arial" w:hAnsi="Arial" w:cs="Arial"/>
              </w:rPr>
              <w:t xml:space="preserve">, </w:t>
            </w:r>
            <w:r w:rsidR="003E6232" w:rsidRPr="003E6232">
              <w:rPr>
                <w:rFonts w:ascii="Arial" w:hAnsi="Arial" w:cs="Arial"/>
              </w:rPr>
              <w:t>Direct Energy Business Marketing, LLC,</w:t>
            </w:r>
            <w:r w:rsidR="003E6232">
              <w:rPr>
                <w:rFonts w:ascii="Arial" w:hAnsi="Arial" w:cs="Arial"/>
              </w:rPr>
              <w:t xml:space="preserve"> </w:t>
            </w:r>
            <w:r w:rsidR="003E6232" w:rsidRPr="003E6232">
              <w:rPr>
                <w:rFonts w:ascii="Arial" w:hAnsi="Arial" w:cs="Arial"/>
              </w:rPr>
              <w:t>Direct Energy Business, LLC,</w:t>
            </w:r>
            <w:r w:rsidR="003E6232">
              <w:rPr>
                <w:rFonts w:ascii="Arial" w:hAnsi="Arial" w:cs="Arial"/>
              </w:rPr>
              <w:t xml:space="preserve"> </w:t>
            </w:r>
            <w:r w:rsidR="003E6232" w:rsidRPr="003E6232">
              <w:rPr>
                <w:rFonts w:ascii="Arial" w:hAnsi="Arial" w:cs="Arial"/>
              </w:rPr>
              <w:t xml:space="preserve">Direct Energy Services </w:t>
            </w:r>
            <w:proofErr w:type="spellStart"/>
            <w:r w:rsidR="003E6232" w:rsidRPr="003E6232">
              <w:rPr>
                <w:rFonts w:ascii="Arial" w:hAnsi="Arial" w:cs="Arial"/>
              </w:rPr>
              <w:t>LLC,Gateway</w:t>
            </w:r>
            <w:proofErr w:type="spellEnd"/>
            <w:r w:rsidR="003E6232" w:rsidRPr="003E6232">
              <w:rPr>
                <w:rFonts w:ascii="Arial" w:hAnsi="Arial" w:cs="Arial"/>
              </w:rPr>
              <w:t xml:space="preserve"> Energy Services Corporation</w:t>
            </w:r>
            <w:r w:rsidR="00A07F4A">
              <w:rPr>
                <w:rFonts w:ascii="Arial" w:hAnsi="Arial" w:cs="Arial"/>
              </w:rPr>
              <w:t xml:space="preserve">, County of Westchester, AARP of New York, New York Geothermal Energy Organization, </w:t>
            </w:r>
            <w:r w:rsidR="00D37513" w:rsidRPr="00D37513">
              <w:rPr>
                <w:rFonts w:ascii="Arial" w:hAnsi="Arial" w:cs="Arial"/>
              </w:rPr>
              <w:t>Hudson River Energy Group,</w:t>
            </w:r>
            <w:r w:rsidR="00D37513">
              <w:rPr>
                <w:rFonts w:ascii="Arial" w:hAnsi="Arial" w:cs="Arial"/>
              </w:rPr>
              <w:t xml:space="preserve"> </w:t>
            </w:r>
            <w:r w:rsidR="00D37513" w:rsidRPr="00D37513">
              <w:rPr>
                <w:rFonts w:ascii="Arial" w:hAnsi="Arial" w:cs="Arial"/>
              </w:rPr>
              <w:t>Utility Intervention Unit, Division of Consumer Protection, Department of State</w:t>
            </w:r>
            <w:r w:rsidR="00D37513">
              <w:rPr>
                <w:rFonts w:ascii="Arial" w:hAnsi="Arial" w:cs="Arial"/>
              </w:rPr>
              <w:t xml:space="preserve">, Martin </w:t>
            </w:r>
            <w:proofErr w:type="spellStart"/>
            <w:r w:rsidR="00D37513">
              <w:rPr>
                <w:rFonts w:ascii="Arial" w:hAnsi="Arial" w:cs="Arial"/>
              </w:rPr>
              <w:t>Rothfelder</w:t>
            </w:r>
            <w:proofErr w:type="spellEnd"/>
            <w:r w:rsidR="00D37513">
              <w:rPr>
                <w:rFonts w:ascii="Arial" w:hAnsi="Arial" w:cs="Arial"/>
              </w:rPr>
              <w:t>, Family Energy, I</w:t>
            </w:r>
            <w:r w:rsidR="00C310E4">
              <w:rPr>
                <w:rFonts w:ascii="Arial" w:hAnsi="Arial" w:cs="Arial"/>
              </w:rPr>
              <w:t xml:space="preserve">nc., New York Heating Oil Association, </w:t>
            </w:r>
            <w:r w:rsidR="00CC52E8" w:rsidRPr="00CC52E8">
              <w:rPr>
                <w:rFonts w:ascii="Arial" w:hAnsi="Arial" w:cs="Arial"/>
              </w:rPr>
              <w:t>Utility Intervention Unit, Division of Consumer Protection</w:t>
            </w:r>
            <w:r w:rsidR="00CC52E8">
              <w:rPr>
                <w:rFonts w:ascii="Arial" w:hAnsi="Arial" w:cs="Arial"/>
              </w:rPr>
              <w:t xml:space="preserve"> - </w:t>
            </w:r>
            <w:r w:rsidR="00CC52E8" w:rsidRPr="00CC52E8">
              <w:rPr>
                <w:rFonts w:ascii="Arial" w:hAnsi="Arial" w:cs="Arial"/>
              </w:rPr>
              <w:t>Department of State</w:t>
            </w:r>
            <w:r w:rsidR="00CC52E8">
              <w:rPr>
                <w:rFonts w:ascii="Arial" w:hAnsi="Arial" w:cs="Arial"/>
              </w:rPr>
              <w:t>, New York Department of Public Service, Consumer Power Advocates</w:t>
            </w:r>
            <w:r w:rsidR="00486729">
              <w:rPr>
                <w:rFonts w:ascii="Arial" w:hAnsi="Arial" w:cs="Arial"/>
              </w:rPr>
              <w:t xml:space="preserve">, Earthjustice, Julie Liu, R Lucas Consulting, LLC, </w:t>
            </w:r>
            <w:r w:rsidR="00486729" w:rsidRPr="00486729">
              <w:rPr>
                <w:rFonts w:ascii="Arial" w:hAnsi="Arial" w:cs="Arial"/>
              </w:rPr>
              <w:t>Utility Workers Union of America, AFL-CIO, Local 1-2</w:t>
            </w:r>
            <w:r w:rsidR="00486729">
              <w:rPr>
                <w:rFonts w:ascii="Arial" w:hAnsi="Arial" w:cs="Arial"/>
              </w:rPr>
              <w:t>, Advanced Energy</w:t>
            </w:r>
            <w:r w:rsidR="00D70736">
              <w:rPr>
                <w:rFonts w:ascii="Arial" w:hAnsi="Arial" w:cs="Arial"/>
              </w:rPr>
              <w:t xml:space="preserve"> Economy Institute, Astoria Generating Company, L.P., WE ACT for Environmental Justice</w:t>
            </w:r>
            <w:r w:rsidR="00EE6668">
              <w:rPr>
                <w:rFonts w:ascii="Arial" w:hAnsi="Arial" w:cs="Arial"/>
              </w:rPr>
              <w:t>, Public Utility Law Project of New York</w:t>
            </w:r>
            <w:r w:rsidR="004B7E92">
              <w:rPr>
                <w:rFonts w:ascii="Arial" w:hAnsi="Arial" w:cs="Arial"/>
              </w:rPr>
              <w:t>, Great Eastern Energy, Alliance for a Green Economy</w:t>
            </w:r>
            <w:r w:rsidR="00172FD8">
              <w:rPr>
                <w:rFonts w:ascii="Arial" w:hAnsi="Arial" w:cs="Arial"/>
              </w:rPr>
              <w:t>, Daymark Energy Advisors</w:t>
            </w:r>
          </w:p>
        </w:tc>
      </w:tr>
      <w:tr w:rsidR="006531A4" w:rsidRPr="00B51D1F" w14:paraId="03FFB692" w14:textId="77777777" w:rsidTr="00956DEC">
        <w:trPr>
          <w:trHeight w:val="279"/>
        </w:trPr>
        <w:tc>
          <w:tcPr>
            <w:tcW w:w="8815" w:type="dxa"/>
            <w:gridSpan w:val="2"/>
            <w:shd w:val="clear" w:color="auto" w:fill="1F4E79" w:themeFill="accent1" w:themeFillShade="80"/>
          </w:tcPr>
          <w:p w14:paraId="3F218532" w14:textId="77777777" w:rsidR="006531A4" w:rsidRPr="00B51D1F" w:rsidRDefault="006531A4" w:rsidP="006531A4">
            <w:pPr>
              <w:jc w:val="center"/>
              <w:rPr>
                <w:rFonts w:ascii="Arial" w:hAnsi="Arial" w:cs="Arial"/>
                <w:b/>
                <w:color w:val="FFFFFF" w:themeColor="background1"/>
              </w:rPr>
            </w:pPr>
          </w:p>
        </w:tc>
      </w:tr>
      <w:tr w:rsidR="00956DEC" w:rsidRPr="00B51D1F" w14:paraId="1D425B53" w14:textId="77777777" w:rsidTr="00956DEC">
        <w:trPr>
          <w:trHeight w:val="279"/>
        </w:trPr>
        <w:tc>
          <w:tcPr>
            <w:tcW w:w="8815" w:type="dxa"/>
            <w:gridSpan w:val="2"/>
            <w:shd w:val="clear" w:color="auto" w:fill="FFFFFF" w:themeFill="background1"/>
          </w:tcPr>
          <w:p w14:paraId="53D8260B" w14:textId="77777777" w:rsidR="00956DEC" w:rsidRDefault="00956DEC" w:rsidP="00956DEC">
            <w:pPr>
              <w:tabs>
                <w:tab w:val="left" w:pos="390"/>
                <w:tab w:val="left" w:pos="2280"/>
              </w:tabs>
              <w:ind w:right="-105"/>
              <w:rPr>
                <w:rFonts w:ascii="Arial" w:hAnsi="Arial" w:cs="Arial"/>
              </w:rPr>
            </w:pPr>
            <w:r w:rsidRPr="009245CE">
              <w:rPr>
                <w:rFonts w:ascii="Arial" w:hAnsi="Arial" w:cs="Arial"/>
              </w:rPr>
              <w:t xml:space="preserve">CECONY indicated that it intends to explore the negotiation of a multiyear rate plan. Toward that end, the company, for settlement purposes, outlined second- and third-year rate increases. As part of the formal </w:t>
            </w:r>
            <w:proofErr w:type="spellStart"/>
            <w:r w:rsidRPr="009245CE">
              <w:rPr>
                <w:rFonts w:ascii="Arial" w:hAnsi="Arial" w:cs="Arial"/>
              </w:rPr>
              <w:t>updae</w:t>
            </w:r>
            <w:proofErr w:type="spellEnd"/>
            <w:r w:rsidRPr="009245CE">
              <w:rPr>
                <w:rFonts w:ascii="Arial" w:hAnsi="Arial" w:cs="Arial"/>
              </w:rPr>
              <w:t xml:space="preserve"> on June 14, 2019, the company proposed a $134.4 million gas rate increase to be effective Jan</w:t>
            </w:r>
            <w:r>
              <w:rPr>
                <w:rFonts w:ascii="Arial" w:hAnsi="Arial" w:cs="Arial"/>
              </w:rPr>
              <w:t>uary</w:t>
            </w:r>
            <w:r w:rsidRPr="009245CE">
              <w:rPr>
                <w:rFonts w:ascii="Arial" w:hAnsi="Arial" w:cs="Arial"/>
              </w:rPr>
              <w:t xml:space="preserve"> 1, 2021, premised upon a 9.75% return on equity (50% of capital) and a 7.19% return on average rate base valued at $7.973 billion for a test year ending </w:t>
            </w:r>
            <w:r>
              <w:rPr>
                <w:rFonts w:ascii="Arial" w:hAnsi="Arial" w:cs="Arial"/>
              </w:rPr>
              <w:t>December</w:t>
            </w:r>
            <w:r w:rsidRPr="009245CE">
              <w:rPr>
                <w:rFonts w:ascii="Arial" w:hAnsi="Arial" w:cs="Arial"/>
              </w:rPr>
              <w:t xml:space="preserve"> 31, 2021. The company proposes a $160.4 million gas rate increase to be effective </w:t>
            </w:r>
            <w:r>
              <w:rPr>
                <w:rFonts w:ascii="Arial" w:hAnsi="Arial" w:cs="Arial"/>
              </w:rPr>
              <w:t>January</w:t>
            </w:r>
            <w:r w:rsidRPr="009245CE">
              <w:rPr>
                <w:rFonts w:ascii="Arial" w:hAnsi="Arial" w:cs="Arial"/>
              </w:rPr>
              <w:t xml:space="preserve"> 1, 2022, premised upon a 9.75% return on equity (50% of capital) and a 7.18% return on average rate base valued at $8.754 billion for a test year ending Dec</w:t>
            </w:r>
            <w:r>
              <w:rPr>
                <w:rFonts w:ascii="Arial" w:hAnsi="Arial" w:cs="Arial"/>
              </w:rPr>
              <w:t>ember</w:t>
            </w:r>
            <w:r w:rsidRPr="009245CE">
              <w:rPr>
                <w:rFonts w:ascii="Arial" w:hAnsi="Arial" w:cs="Arial"/>
              </w:rPr>
              <w:t xml:space="preserve"> 31, 2022.</w:t>
            </w:r>
            <w:r w:rsidRPr="009245CE">
              <w:rPr>
                <w:rFonts w:ascii="Arial" w:hAnsi="Arial" w:cs="Arial"/>
              </w:rPr>
              <w:br/>
            </w:r>
            <w:r w:rsidRPr="009245CE">
              <w:rPr>
                <w:rFonts w:ascii="Arial" w:hAnsi="Arial" w:cs="Arial"/>
              </w:rPr>
              <w:br/>
              <w:t xml:space="preserve">For CECONY's gas operations, the approved joint proposal calls for three-step gas base rate changes comprised of an $83.9 million rate decrease effective </w:t>
            </w:r>
            <w:r>
              <w:rPr>
                <w:rFonts w:ascii="Arial" w:hAnsi="Arial" w:cs="Arial"/>
              </w:rPr>
              <w:t>January</w:t>
            </w:r>
            <w:r w:rsidRPr="009245CE">
              <w:rPr>
                <w:rFonts w:ascii="Arial" w:hAnsi="Arial" w:cs="Arial"/>
              </w:rPr>
              <w:t xml:space="preserve"> 1, 2020, a $122 million increase effective Jan</w:t>
            </w:r>
            <w:r>
              <w:rPr>
                <w:rFonts w:ascii="Arial" w:hAnsi="Arial" w:cs="Arial"/>
              </w:rPr>
              <w:t>uary</w:t>
            </w:r>
            <w:r w:rsidRPr="009245CE">
              <w:rPr>
                <w:rFonts w:ascii="Arial" w:hAnsi="Arial" w:cs="Arial"/>
              </w:rPr>
              <w:t xml:space="preserve"> 1, 2021, and a $167.1 million increase effective </w:t>
            </w:r>
            <w:r>
              <w:rPr>
                <w:rFonts w:ascii="Arial" w:hAnsi="Arial" w:cs="Arial"/>
              </w:rPr>
              <w:t>January</w:t>
            </w:r>
            <w:r w:rsidRPr="009245CE">
              <w:rPr>
                <w:rFonts w:ascii="Arial" w:hAnsi="Arial" w:cs="Arial"/>
              </w:rPr>
              <w:t xml:space="preserve"> 1, 2022.</w:t>
            </w:r>
            <w:r w:rsidRPr="009245CE">
              <w:rPr>
                <w:rFonts w:ascii="Arial" w:hAnsi="Arial" w:cs="Arial"/>
              </w:rPr>
              <w:br/>
              <w:t xml:space="preserve">These amounts reflect the amortizations of various customer credits and debits that have previously been or are projected to be deferred by the company. After accounting for the amortization of these liabilities, the net rate change would be $45 million effective </w:t>
            </w:r>
            <w:r>
              <w:rPr>
                <w:rFonts w:ascii="Arial" w:hAnsi="Arial" w:cs="Arial"/>
              </w:rPr>
              <w:lastRenderedPageBreak/>
              <w:t>January</w:t>
            </w:r>
            <w:r w:rsidRPr="009245CE">
              <w:rPr>
                <w:rFonts w:ascii="Arial" w:hAnsi="Arial" w:cs="Arial"/>
              </w:rPr>
              <w:t xml:space="preserve"> 1, 2020, a $43 million increase effective </w:t>
            </w:r>
            <w:r>
              <w:rPr>
                <w:rFonts w:ascii="Arial" w:hAnsi="Arial" w:cs="Arial"/>
              </w:rPr>
              <w:t>January</w:t>
            </w:r>
            <w:r w:rsidRPr="009245CE">
              <w:rPr>
                <w:rFonts w:ascii="Arial" w:hAnsi="Arial" w:cs="Arial"/>
              </w:rPr>
              <w:t xml:space="preserve"> 1, 2021, and a $10 million increase effective </w:t>
            </w:r>
            <w:r>
              <w:rPr>
                <w:rFonts w:ascii="Arial" w:hAnsi="Arial" w:cs="Arial"/>
              </w:rPr>
              <w:t>January</w:t>
            </w:r>
            <w:r w:rsidRPr="009245CE">
              <w:rPr>
                <w:rFonts w:ascii="Arial" w:hAnsi="Arial" w:cs="Arial"/>
              </w:rPr>
              <w:t xml:space="preserve"> 1, 2022.</w:t>
            </w:r>
          </w:p>
          <w:p w14:paraId="760CCF72" w14:textId="263843B9" w:rsidR="00956DEC" w:rsidRDefault="00956DEC" w:rsidP="00956DEC">
            <w:pPr>
              <w:tabs>
                <w:tab w:val="left" w:pos="390"/>
                <w:tab w:val="left" w:pos="2280"/>
              </w:tabs>
              <w:ind w:right="-105"/>
              <w:rPr>
                <w:rFonts w:ascii="Arial" w:hAnsi="Arial" w:cs="Arial"/>
              </w:rPr>
            </w:pPr>
            <w:r w:rsidRPr="009245CE">
              <w:rPr>
                <w:rFonts w:ascii="Arial" w:hAnsi="Arial" w:cs="Arial"/>
              </w:rPr>
              <w:br/>
              <w:t>The approved joint proposal incorporates an 8.8</w:t>
            </w:r>
            <w:r>
              <w:rPr>
                <w:rFonts w:ascii="Arial" w:hAnsi="Arial" w:cs="Arial"/>
              </w:rPr>
              <w:t>0</w:t>
            </w:r>
            <w:r w:rsidRPr="009245CE">
              <w:rPr>
                <w:rFonts w:ascii="Arial" w:hAnsi="Arial" w:cs="Arial"/>
              </w:rPr>
              <w:t>% return on equity (48% of capital) and overall returns of 6.61% in rate years 1, 2 and 3 for CECONY's gas operations. The rate bases reflected in the joint proposal for CECONY's gas operations are as follows: $7.171 billion, rate year 1; $7.911 billion, rate year 2; and $8.622 billion, rate year 3.</w:t>
            </w:r>
            <w:r w:rsidRPr="009245CE">
              <w:rPr>
                <w:rFonts w:ascii="Arial" w:hAnsi="Arial" w:cs="Arial"/>
              </w:rPr>
              <w:br/>
            </w:r>
            <w:r w:rsidRPr="009245CE">
              <w:rPr>
                <w:rFonts w:ascii="Arial" w:hAnsi="Arial" w:cs="Arial"/>
              </w:rPr>
              <w:br/>
              <w:t>The approved joint proposal permits gas rates to be implemented on a levelized bill impact basis to provide rate stability over the course of the plan.</w:t>
            </w:r>
          </w:p>
          <w:p w14:paraId="560CB572" w14:textId="77777777" w:rsidR="00956DEC" w:rsidRDefault="00956DEC" w:rsidP="00FB52EB">
            <w:pPr>
              <w:tabs>
                <w:tab w:val="left" w:pos="390"/>
                <w:tab w:val="left" w:pos="2280"/>
              </w:tabs>
              <w:rPr>
                <w:rFonts w:ascii="Arial" w:hAnsi="Arial" w:cs="Arial"/>
              </w:rPr>
            </w:pPr>
          </w:p>
          <w:p w14:paraId="62DD815A" w14:textId="77777777" w:rsidR="00711497" w:rsidRDefault="00711497" w:rsidP="00FB52EB">
            <w:pPr>
              <w:tabs>
                <w:tab w:val="left" w:pos="390"/>
                <w:tab w:val="left" w:pos="2280"/>
              </w:tabs>
              <w:rPr>
                <w:rFonts w:ascii="Arial" w:hAnsi="Arial" w:cs="Arial"/>
              </w:rPr>
            </w:pPr>
          </w:p>
          <w:p w14:paraId="47AE71A0" w14:textId="77777777" w:rsidR="00711497" w:rsidRDefault="00711497" w:rsidP="00FB52EB">
            <w:pPr>
              <w:tabs>
                <w:tab w:val="left" w:pos="390"/>
                <w:tab w:val="left" w:pos="2280"/>
              </w:tabs>
              <w:rPr>
                <w:rFonts w:ascii="Arial" w:hAnsi="Arial" w:cs="Arial"/>
              </w:rPr>
            </w:pPr>
          </w:p>
          <w:p w14:paraId="4FDDAEAD" w14:textId="77777777" w:rsidR="00711497" w:rsidRDefault="00711497" w:rsidP="00FB52EB">
            <w:pPr>
              <w:tabs>
                <w:tab w:val="left" w:pos="390"/>
                <w:tab w:val="left" w:pos="2280"/>
              </w:tabs>
              <w:rPr>
                <w:rFonts w:ascii="Arial" w:hAnsi="Arial" w:cs="Arial"/>
              </w:rPr>
            </w:pPr>
          </w:p>
          <w:p w14:paraId="6C74E2F7" w14:textId="77777777" w:rsidR="00711497" w:rsidRDefault="00711497" w:rsidP="00FB52EB">
            <w:pPr>
              <w:tabs>
                <w:tab w:val="left" w:pos="390"/>
                <w:tab w:val="left" w:pos="2280"/>
              </w:tabs>
              <w:rPr>
                <w:rFonts w:ascii="Arial" w:hAnsi="Arial" w:cs="Arial"/>
              </w:rPr>
            </w:pPr>
          </w:p>
          <w:p w14:paraId="789E34E1" w14:textId="77777777" w:rsidR="00711497" w:rsidRDefault="00711497" w:rsidP="00FB52EB">
            <w:pPr>
              <w:tabs>
                <w:tab w:val="left" w:pos="390"/>
                <w:tab w:val="left" w:pos="2280"/>
              </w:tabs>
              <w:rPr>
                <w:rFonts w:ascii="Arial" w:hAnsi="Arial" w:cs="Arial"/>
              </w:rPr>
            </w:pPr>
          </w:p>
          <w:p w14:paraId="366164B6" w14:textId="77777777" w:rsidR="00711497" w:rsidRDefault="00711497" w:rsidP="00FB52EB">
            <w:pPr>
              <w:tabs>
                <w:tab w:val="left" w:pos="390"/>
                <w:tab w:val="left" w:pos="2280"/>
              </w:tabs>
              <w:rPr>
                <w:rFonts w:ascii="Arial" w:hAnsi="Arial" w:cs="Arial"/>
              </w:rPr>
            </w:pPr>
          </w:p>
          <w:p w14:paraId="20740928" w14:textId="77777777" w:rsidR="00711497" w:rsidRDefault="00711497" w:rsidP="00FB52EB">
            <w:pPr>
              <w:tabs>
                <w:tab w:val="left" w:pos="390"/>
                <w:tab w:val="left" w:pos="2280"/>
              </w:tabs>
              <w:rPr>
                <w:rFonts w:ascii="Arial" w:hAnsi="Arial" w:cs="Arial"/>
              </w:rPr>
            </w:pPr>
          </w:p>
          <w:p w14:paraId="14E12F71" w14:textId="77777777" w:rsidR="00711497" w:rsidRDefault="00711497" w:rsidP="00FB52EB">
            <w:pPr>
              <w:tabs>
                <w:tab w:val="left" w:pos="390"/>
                <w:tab w:val="left" w:pos="2280"/>
              </w:tabs>
              <w:rPr>
                <w:rFonts w:ascii="Arial" w:hAnsi="Arial" w:cs="Arial"/>
              </w:rPr>
            </w:pPr>
          </w:p>
          <w:p w14:paraId="1490BE41" w14:textId="77777777" w:rsidR="00711497" w:rsidRDefault="00711497" w:rsidP="00FB52EB">
            <w:pPr>
              <w:tabs>
                <w:tab w:val="left" w:pos="390"/>
                <w:tab w:val="left" w:pos="2280"/>
              </w:tabs>
              <w:rPr>
                <w:rFonts w:ascii="Arial" w:hAnsi="Arial" w:cs="Arial"/>
              </w:rPr>
            </w:pPr>
          </w:p>
          <w:p w14:paraId="0E2739A8" w14:textId="77777777" w:rsidR="00711497" w:rsidRDefault="00711497" w:rsidP="00FB52EB">
            <w:pPr>
              <w:tabs>
                <w:tab w:val="left" w:pos="390"/>
                <w:tab w:val="left" w:pos="2280"/>
              </w:tabs>
              <w:rPr>
                <w:rFonts w:ascii="Arial" w:hAnsi="Arial" w:cs="Arial"/>
              </w:rPr>
            </w:pPr>
          </w:p>
          <w:p w14:paraId="2FB011A6" w14:textId="77777777" w:rsidR="00711497" w:rsidRDefault="00711497" w:rsidP="00FB52EB">
            <w:pPr>
              <w:tabs>
                <w:tab w:val="left" w:pos="390"/>
                <w:tab w:val="left" w:pos="2280"/>
              </w:tabs>
              <w:rPr>
                <w:rFonts w:ascii="Arial" w:hAnsi="Arial" w:cs="Arial"/>
              </w:rPr>
            </w:pPr>
          </w:p>
          <w:p w14:paraId="2EC5A143" w14:textId="77777777" w:rsidR="00711497" w:rsidRDefault="00711497" w:rsidP="00FB52EB">
            <w:pPr>
              <w:tabs>
                <w:tab w:val="left" w:pos="390"/>
                <w:tab w:val="left" w:pos="2280"/>
              </w:tabs>
              <w:rPr>
                <w:rFonts w:ascii="Arial" w:hAnsi="Arial" w:cs="Arial"/>
              </w:rPr>
            </w:pPr>
          </w:p>
          <w:p w14:paraId="14374213" w14:textId="77777777" w:rsidR="00711497" w:rsidRDefault="00711497" w:rsidP="00FB52EB">
            <w:pPr>
              <w:tabs>
                <w:tab w:val="left" w:pos="390"/>
                <w:tab w:val="left" w:pos="2280"/>
              </w:tabs>
              <w:rPr>
                <w:rFonts w:ascii="Arial" w:hAnsi="Arial" w:cs="Arial"/>
              </w:rPr>
            </w:pPr>
          </w:p>
          <w:p w14:paraId="2652D82C" w14:textId="77777777" w:rsidR="00711497" w:rsidRDefault="00711497" w:rsidP="00FB52EB">
            <w:pPr>
              <w:tabs>
                <w:tab w:val="left" w:pos="390"/>
                <w:tab w:val="left" w:pos="2280"/>
              </w:tabs>
              <w:rPr>
                <w:rFonts w:ascii="Arial" w:hAnsi="Arial" w:cs="Arial"/>
              </w:rPr>
            </w:pPr>
          </w:p>
          <w:p w14:paraId="3A97AB92" w14:textId="77777777" w:rsidR="00711497" w:rsidRDefault="00711497" w:rsidP="00FB52EB">
            <w:pPr>
              <w:tabs>
                <w:tab w:val="left" w:pos="390"/>
                <w:tab w:val="left" w:pos="2280"/>
              </w:tabs>
              <w:rPr>
                <w:rFonts w:ascii="Arial" w:hAnsi="Arial" w:cs="Arial"/>
              </w:rPr>
            </w:pPr>
          </w:p>
          <w:p w14:paraId="2AA8C1D9" w14:textId="77777777" w:rsidR="00711497" w:rsidRDefault="00711497" w:rsidP="00FB52EB">
            <w:pPr>
              <w:tabs>
                <w:tab w:val="left" w:pos="390"/>
                <w:tab w:val="left" w:pos="2280"/>
              </w:tabs>
              <w:rPr>
                <w:rFonts w:ascii="Arial" w:hAnsi="Arial" w:cs="Arial"/>
              </w:rPr>
            </w:pPr>
          </w:p>
          <w:p w14:paraId="473F6D70" w14:textId="77777777" w:rsidR="00711497" w:rsidRDefault="00711497" w:rsidP="00FB52EB">
            <w:pPr>
              <w:tabs>
                <w:tab w:val="left" w:pos="390"/>
                <w:tab w:val="left" w:pos="2280"/>
              </w:tabs>
              <w:rPr>
                <w:rFonts w:ascii="Arial" w:hAnsi="Arial" w:cs="Arial"/>
              </w:rPr>
            </w:pPr>
          </w:p>
          <w:p w14:paraId="70FA49F0" w14:textId="77777777" w:rsidR="00711497" w:rsidRDefault="00711497" w:rsidP="00FB52EB">
            <w:pPr>
              <w:tabs>
                <w:tab w:val="left" w:pos="390"/>
                <w:tab w:val="left" w:pos="2280"/>
              </w:tabs>
              <w:rPr>
                <w:rFonts w:ascii="Arial" w:hAnsi="Arial" w:cs="Arial"/>
              </w:rPr>
            </w:pPr>
          </w:p>
          <w:p w14:paraId="32D86702" w14:textId="77777777" w:rsidR="00711497" w:rsidRDefault="00711497" w:rsidP="00FB52EB">
            <w:pPr>
              <w:tabs>
                <w:tab w:val="left" w:pos="390"/>
                <w:tab w:val="left" w:pos="2280"/>
              </w:tabs>
              <w:rPr>
                <w:rFonts w:ascii="Arial" w:hAnsi="Arial" w:cs="Arial"/>
              </w:rPr>
            </w:pPr>
          </w:p>
          <w:p w14:paraId="6AFFDF2A" w14:textId="77777777" w:rsidR="00711497" w:rsidRDefault="00711497" w:rsidP="00FB52EB">
            <w:pPr>
              <w:tabs>
                <w:tab w:val="left" w:pos="390"/>
                <w:tab w:val="left" w:pos="2280"/>
              </w:tabs>
              <w:rPr>
                <w:rFonts w:ascii="Arial" w:hAnsi="Arial" w:cs="Arial"/>
              </w:rPr>
            </w:pPr>
          </w:p>
          <w:p w14:paraId="18C6424F" w14:textId="77777777" w:rsidR="00711497" w:rsidRDefault="00711497" w:rsidP="00FB52EB">
            <w:pPr>
              <w:tabs>
                <w:tab w:val="left" w:pos="390"/>
                <w:tab w:val="left" w:pos="2280"/>
              </w:tabs>
              <w:rPr>
                <w:rFonts w:ascii="Arial" w:hAnsi="Arial" w:cs="Arial"/>
              </w:rPr>
            </w:pPr>
          </w:p>
          <w:p w14:paraId="2C445153" w14:textId="77777777" w:rsidR="00711497" w:rsidRDefault="00711497" w:rsidP="00FB52EB">
            <w:pPr>
              <w:tabs>
                <w:tab w:val="left" w:pos="390"/>
                <w:tab w:val="left" w:pos="2280"/>
              </w:tabs>
              <w:rPr>
                <w:rFonts w:ascii="Arial" w:hAnsi="Arial" w:cs="Arial"/>
              </w:rPr>
            </w:pPr>
          </w:p>
          <w:p w14:paraId="53F6C7F6" w14:textId="77777777" w:rsidR="00711497" w:rsidRDefault="00711497" w:rsidP="00FB52EB">
            <w:pPr>
              <w:tabs>
                <w:tab w:val="left" w:pos="390"/>
                <w:tab w:val="left" w:pos="2280"/>
              </w:tabs>
              <w:rPr>
                <w:rFonts w:ascii="Arial" w:hAnsi="Arial" w:cs="Arial"/>
              </w:rPr>
            </w:pPr>
          </w:p>
          <w:p w14:paraId="77B5D1FD" w14:textId="77777777" w:rsidR="00711497" w:rsidRDefault="00711497" w:rsidP="00FB52EB">
            <w:pPr>
              <w:tabs>
                <w:tab w:val="left" w:pos="390"/>
                <w:tab w:val="left" w:pos="2280"/>
              </w:tabs>
              <w:rPr>
                <w:rFonts w:ascii="Arial" w:hAnsi="Arial" w:cs="Arial"/>
              </w:rPr>
            </w:pPr>
          </w:p>
          <w:p w14:paraId="2F77B208" w14:textId="77777777" w:rsidR="00711497" w:rsidRDefault="00711497" w:rsidP="00FB52EB">
            <w:pPr>
              <w:tabs>
                <w:tab w:val="left" w:pos="390"/>
                <w:tab w:val="left" w:pos="2280"/>
              </w:tabs>
              <w:rPr>
                <w:rFonts w:ascii="Arial" w:hAnsi="Arial" w:cs="Arial"/>
              </w:rPr>
            </w:pPr>
          </w:p>
          <w:p w14:paraId="72A21AE6" w14:textId="77777777" w:rsidR="00711497" w:rsidRDefault="00711497" w:rsidP="00FB52EB">
            <w:pPr>
              <w:tabs>
                <w:tab w:val="left" w:pos="390"/>
                <w:tab w:val="left" w:pos="2280"/>
              </w:tabs>
              <w:rPr>
                <w:rFonts w:ascii="Arial" w:hAnsi="Arial" w:cs="Arial"/>
              </w:rPr>
            </w:pPr>
          </w:p>
          <w:p w14:paraId="181DD0BF" w14:textId="77777777" w:rsidR="00711497" w:rsidRDefault="00711497" w:rsidP="00FB52EB">
            <w:pPr>
              <w:tabs>
                <w:tab w:val="left" w:pos="390"/>
                <w:tab w:val="left" w:pos="2280"/>
              </w:tabs>
              <w:rPr>
                <w:rFonts w:ascii="Arial" w:hAnsi="Arial" w:cs="Arial"/>
              </w:rPr>
            </w:pPr>
          </w:p>
          <w:p w14:paraId="3DFEA254" w14:textId="77777777" w:rsidR="00711497" w:rsidRDefault="00711497" w:rsidP="00FB52EB">
            <w:pPr>
              <w:tabs>
                <w:tab w:val="left" w:pos="390"/>
                <w:tab w:val="left" w:pos="2280"/>
              </w:tabs>
              <w:rPr>
                <w:rFonts w:ascii="Arial" w:hAnsi="Arial" w:cs="Arial"/>
              </w:rPr>
            </w:pPr>
          </w:p>
          <w:p w14:paraId="407CCDE1" w14:textId="77777777" w:rsidR="00711497" w:rsidRDefault="00711497" w:rsidP="00FB52EB">
            <w:pPr>
              <w:tabs>
                <w:tab w:val="left" w:pos="390"/>
                <w:tab w:val="left" w:pos="2280"/>
              </w:tabs>
              <w:rPr>
                <w:rFonts w:ascii="Arial" w:hAnsi="Arial" w:cs="Arial"/>
              </w:rPr>
            </w:pPr>
          </w:p>
          <w:p w14:paraId="1E2B92F5" w14:textId="77777777" w:rsidR="00711497" w:rsidRDefault="00711497" w:rsidP="00FB52EB">
            <w:pPr>
              <w:tabs>
                <w:tab w:val="left" w:pos="390"/>
                <w:tab w:val="left" w:pos="2280"/>
              </w:tabs>
              <w:rPr>
                <w:rFonts w:ascii="Arial" w:hAnsi="Arial" w:cs="Arial"/>
              </w:rPr>
            </w:pPr>
          </w:p>
          <w:p w14:paraId="1A8F2734" w14:textId="77777777" w:rsidR="00711497" w:rsidRDefault="00711497" w:rsidP="00FB52EB">
            <w:pPr>
              <w:tabs>
                <w:tab w:val="left" w:pos="390"/>
                <w:tab w:val="left" w:pos="2280"/>
              </w:tabs>
              <w:rPr>
                <w:rFonts w:ascii="Arial" w:hAnsi="Arial" w:cs="Arial"/>
              </w:rPr>
            </w:pPr>
          </w:p>
          <w:p w14:paraId="2176B58B" w14:textId="77777777" w:rsidR="00711497" w:rsidRDefault="00711497" w:rsidP="00FB52EB">
            <w:pPr>
              <w:tabs>
                <w:tab w:val="left" w:pos="390"/>
                <w:tab w:val="left" w:pos="2280"/>
              </w:tabs>
              <w:rPr>
                <w:rFonts w:ascii="Arial" w:hAnsi="Arial" w:cs="Arial"/>
              </w:rPr>
            </w:pPr>
          </w:p>
          <w:p w14:paraId="68FF6A6F" w14:textId="77777777" w:rsidR="00711497" w:rsidRDefault="00711497" w:rsidP="00FB52EB">
            <w:pPr>
              <w:tabs>
                <w:tab w:val="left" w:pos="390"/>
                <w:tab w:val="left" w:pos="2280"/>
              </w:tabs>
              <w:rPr>
                <w:rFonts w:ascii="Arial" w:hAnsi="Arial" w:cs="Arial"/>
              </w:rPr>
            </w:pPr>
          </w:p>
          <w:p w14:paraId="6FCEE277" w14:textId="77777777" w:rsidR="00711497" w:rsidRDefault="00711497" w:rsidP="00FB52EB">
            <w:pPr>
              <w:tabs>
                <w:tab w:val="left" w:pos="390"/>
                <w:tab w:val="left" w:pos="2280"/>
              </w:tabs>
              <w:rPr>
                <w:rFonts w:ascii="Arial" w:hAnsi="Arial" w:cs="Arial"/>
              </w:rPr>
            </w:pPr>
          </w:p>
          <w:p w14:paraId="546BB29D" w14:textId="29A310F9" w:rsidR="00711497" w:rsidRPr="00B51D1F" w:rsidRDefault="00711497" w:rsidP="00FB52EB">
            <w:pPr>
              <w:tabs>
                <w:tab w:val="left" w:pos="390"/>
                <w:tab w:val="left" w:pos="2280"/>
              </w:tabs>
              <w:rPr>
                <w:rFonts w:ascii="Arial" w:hAnsi="Arial" w:cs="Arial"/>
              </w:rPr>
            </w:pPr>
          </w:p>
        </w:tc>
      </w:tr>
      <w:tr w:rsidR="006531A4" w:rsidRPr="00B51D1F" w14:paraId="3CFA0F33" w14:textId="77777777" w:rsidTr="00956DEC">
        <w:trPr>
          <w:trHeight w:val="263"/>
        </w:trPr>
        <w:tc>
          <w:tcPr>
            <w:tcW w:w="8815" w:type="dxa"/>
            <w:gridSpan w:val="2"/>
            <w:shd w:val="clear" w:color="auto" w:fill="1F4E79" w:themeFill="accent1" w:themeFillShade="80"/>
          </w:tcPr>
          <w:p w14:paraId="75F46CAD" w14:textId="2C6B43FC" w:rsidR="006531A4" w:rsidRPr="00B51D1F" w:rsidRDefault="00C90898" w:rsidP="006531A4">
            <w:pPr>
              <w:jc w:val="center"/>
              <w:rPr>
                <w:rFonts w:ascii="Arial" w:hAnsi="Arial" w:cs="Arial"/>
                <w:b/>
                <w:color w:val="FFFFFF" w:themeColor="background1"/>
              </w:rPr>
            </w:pPr>
            <w:r>
              <w:rPr>
                <w:rFonts w:ascii="Arial" w:hAnsi="Arial" w:cs="Arial"/>
                <w:b/>
                <w:color w:val="FFFFFF" w:themeColor="background1"/>
              </w:rPr>
              <w:lastRenderedPageBreak/>
              <w:t>January 24, 2020</w:t>
            </w:r>
          </w:p>
        </w:tc>
      </w:tr>
      <w:tr w:rsidR="006531A4" w:rsidRPr="00B51D1F" w14:paraId="538DEEAE" w14:textId="77777777" w:rsidTr="00956DEC">
        <w:trPr>
          <w:trHeight w:val="161"/>
        </w:trPr>
        <w:tc>
          <w:tcPr>
            <w:tcW w:w="2111" w:type="dxa"/>
            <w:shd w:val="clear" w:color="auto" w:fill="1F4E79" w:themeFill="accent1" w:themeFillShade="80"/>
          </w:tcPr>
          <w:p w14:paraId="6025F629"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6704" w:type="dxa"/>
          </w:tcPr>
          <w:p w14:paraId="2B616C8C" w14:textId="52ECD746" w:rsidR="006531A4" w:rsidRPr="00B51D1F" w:rsidRDefault="00BA2A30" w:rsidP="006531A4">
            <w:pPr>
              <w:rPr>
                <w:rFonts w:ascii="Arial" w:hAnsi="Arial" w:cs="Arial"/>
              </w:rPr>
            </w:pPr>
            <w:r>
              <w:rPr>
                <w:rFonts w:ascii="Arial" w:hAnsi="Arial" w:cs="Arial"/>
              </w:rPr>
              <w:t>Roanoke Gas Co.</w:t>
            </w:r>
          </w:p>
        </w:tc>
      </w:tr>
      <w:tr w:rsidR="006531A4" w:rsidRPr="00B51D1F" w14:paraId="43322B0A" w14:textId="77777777" w:rsidTr="00956DEC">
        <w:trPr>
          <w:trHeight w:val="279"/>
        </w:trPr>
        <w:tc>
          <w:tcPr>
            <w:tcW w:w="2111" w:type="dxa"/>
            <w:shd w:val="clear" w:color="auto" w:fill="1F4E79" w:themeFill="accent1" w:themeFillShade="80"/>
          </w:tcPr>
          <w:p w14:paraId="070A6F6B" w14:textId="77777777" w:rsidR="006531A4" w:rsidRPr="00B51D1F" w:rsidRDefault="006531A4" w:rsidP="006531A4">
            <w:pPr>
              <w:rPr>
                <w:rFonts w:ascii="Arial" w:hAnsi="Arial" w:cs="Arial"/>
                <w:b/>
                <w:color w:val="FFFFFF" w:themeColor="background1"/>
              </w:rPr>
            </w:pPr>
            <w:r>
              <w:rPr>
                <w:rFonts w:ascii="Arial" w:hAnsi="Arial" w:cs="Arial"/>
                <w:b/>
                <w:color w:val="FFFFFF" w:themeColor="background1"/>
              </w:rPr>
              <w:t>State</w:t>
            </w:r>
          </w:p>
        </w:tc>
        <w:tc>
          <w:tcPr>
            <w:tcW w:w="6704" w:type="dxa"/>
          </w:tcPr>
          <w:p w14:paraId="3661060E" w14:textId="6D6E16BD" w:rsidR="006531A4" w:rsidRPr="00B51D1F" w:rsidRDefault="00BA2A30" w:rsidP="006531A4">
            <w:pPr>
              <w:rPr>
                <w:rFonts w:ascii="Arial" w:hAnsi="Arial" w:cs="Arial"/>
              </w:rPr>
            </w:pPr>
            <w:r>
              <w:rPr>
                <w:rFonts w:ascii="Arial" w:hAnsi="Arial" w:cs="Arial"/>
              </w:rPr>
              <w:t>Vir</w:t>
            </w:r>
            <w:r w:rsidR="003F1DE0">
              <w:rPr>
                <w:rFonts w:ascii="Arial" w:hAnsi="Arial" w:cs="Arial"/>
              </w:rPr>
              <w:t>gi</w:t>
            </w:r>
            <w:r>
              <w:rPr>
                <w:rFonts w:ascii="Arial" w:hAnsi="Arial" w:cs="Arial"/>
              </w:rPr>
              <w:t>nia</w:t>
            </w:r>
          </w:p>
        </w:tc>
      </w:tr>
      <w:tr w:rsidR="006531A4" w:rsidRPr="00B51D1F" w14:paraId="4C76539A" w14:textId="77777777" w:rsidTr="00956DEC">
        <w:trPr>
          <w:trHeight w:val="263"/>
        </w:trPr>
        <w:tc>
          <w:tcPr>
            <w:tcW w:w="2111" w:type="dxa"/>
            <w:shd w:val="clear" w:color="auto" w:fill="1F4E79" w:themeFill="accent1" w:themeFillShade="80"/>
          </w:tcPr>
          <w:p w14:paraId="76AA044F"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tcPr>
          <w:p w14:paraId="73743731" w14:textId="5D1E0379" w:rsidR="006531A4" w:rsidRPr="001810C6" w:rsidRDefault="0009189A" w:rsidP="001810C6">
            <w:pPr>
              <w:rPr>
                <w:rFonts w:ascii="Arial" w:hAnsi="Arial" w:cs="Arial"/>
              </w:rPr>
            </w:pPr>
            <w:hyperlink r:id="rId15" w:anchor="/caseDetails/138149" w:history="1">
              <w:r w:rsidR="009210B0" w:rsidRPr="009210B0">
                <w:rPr>
                  <w:rStyle w:val="Hyperlink"/>
                  <w:rFonts w:ascii="Arial" w:hAnsi="Arial" w:cs="Arial"/>
                </w:rPr>
                <w:t>C-PUR-2018-00013</w:t>
              </w:r>
            </w:hyperlink>
          </w:p>
        </w:tc>
      </w:tr>
      <w:tr w:rsidR="006531A4" w:rsidRPr="00B51D1F" w14:paraId="43D18E48" w14:textId="77777777" w:rsidTr="00956DEC">
        <w:trPr>
          <w:trHeight w:val="279"/>
        </w:trPr>
        <w:tc>
          <w:tcPr>
            <w:tcW w:w="2111" w:type="dxa"/>
            <w:shd w:val="clear" w:color="auto" w:fill="1F4E79" w:themeFill="accent1" w:themeFillShade="80"/>
          </w:tcPr>
          <w:p w14:paraId="72721E13"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tcPr>
          <w:p w14:paraId="1EF8A4A8" w14:textId="780E06D7" w:rsidR="006531A4" w:rsidRPr="00B51D1F" w:rsidRDefault="001A2D43" w:rsidP="006531A4">
            <w:pPr>
              <w:rPr>
                <w:rFonts w:ascii="Arial" w:hAnsi="Arial" w:cs="Arial"/>
              </w:rPr>
            </w:pPr>
            <w:r>
              <w:rPr>
                <w:rFonts w:ascii="Arial" w:hAnsi="Arial" w:cs="Arial"/>
              </w:rPr>
              <w:t>$</w:t>
            </w:r>
            <w:r w:rsidR="00B66E18">
              <w:rPr>
                <w:rFonts w:ascii="Arial" w:hAnsi="Arial" w:cs="Arial"/>
              </w:rPr>
              <w:t>7,250,000</w:t>
            </w:r>
          </w:p>
        </w:tc>
      </w:tr>
      <w:tr w:rsidR="006531A4" w:rsidRPr="00B51D1F" w14:paraId="59FBD7E4" w14:textId="77777777" w:rsidTr="00956DEC">
        <w:trPr>
          <w:trHeight w:val="263"/>
        </w:trPr>
        <w:tc>
          <w:tcPr>
            <w:tcW w:w="2111" w:type="dxa"/>
            <w:shd w:val="clear" w:color="auto" w:fill="1F4E79" w:themeFill="accent1" w:themeFillShade="80"/>
          </w:tcPr>
          <w:p w14:paraId="594C4469"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tcPr>
          <w:p w14:paraId="5DE94B55" w14:textId="4D2953A6" w:rsidR="006531A4" w:rsidRPr="00B51D1F" w:rsidRDefault="001A2D43" w:rsidP="006531A4">
            <w:pPr>
              <w:rPr>
                <w:rFonts w:ascii="Arial" w:hAnsi="Arial" w:cs="Arial"/>
              </w:rPr>
            </w:pPr>
            <w:r>
              <w:rPr>
                <w:rFonts w:ascii="Arial" w:hAnsi="Arial" w:cs="Arial"/>
              </w:rPr>
              <w:t>9.4</w:t>
            </w:r>
            <w:r w:rsidR="00B66E18">
              <w:rPr>
                <w:rFonts w:ascii="Arial" w:hAnsi="Arial" w:cs="Arial"/>
              </w:rPr>
              <w:t>4</w:t>
            </w:r>
            <w:r>
              <w:rPr>
                <w:rFonts w:ascii="Arial" w:hAnsi="Arial" w:cs="Arial"/>
              </w:rPr>
              <w:t>%</w:t>
            </w:r>
          </w:p>
        </w:tc>
      </w:tr>
      <w:tr w:rsidR="006531A4" w:rsidRPr="00B51D1F" w14:paraId="7D5D3E12" w14:textId="77777777" w:rsidTr="00956DEC">
        <w:trPr>
          <w:trHeight w:val="279"/>
        </w:trPr>
        <w:tc>
          <w:tcPr>
            <w:tcW w:w="2111" w:type="dxa"/>
            <w:shd w:val="clear" w:color="auto" w:fill="1F4E79" w:themeFill="accent1" w:themeFillShade="80"/>
          </w:tcPr>
          <w:p w14:paraId="2D9621C4"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6704" w:type="dxa"/>
          </w:tcPr>
          <w:p w14:paraId="739A312B" w14:textId="295F8804" w:rsidR="006531A4" w:rsidRPr="00B51D1F" w:rsidRDefault="00AC3387" w:rsidP="006531A4">
            <w:pPr>
              <w:rPr>
                <w:rFonts w:ascii="Arial" w:hAnsi="Arial" w:cs="Arial"/>
                <w:szCs w:val="18"/>
                <w:shd w:val="clear" w:color="auto" w:fill="FFFFFF"/>
              </w:rPr>
            </w:pPr>
            <w:r>
              <w:rPr>
                <w:rFonts w:ascii="Arial" w:hAnsi="Arial" w:cs="Arial"/>
                <w:szCs w:val="18"/>
                <w:shd w:val="clear" w:color="auto" w:fill="FFFFFF"/>
              </w:rPr>
              <w:t>Sierra Club</w:t>
            </w:r>
          </w:p>
        </w:tc>
      </w:tr>
      <w:tr w:rsidR="006531A4" w:rsidRPr="00B51D1F" w14:paraId="4B1C6495" w14:textId="77777777" w:rsidTr="00956DEC">
        <w:trPr>
          <w:trHeight w:val="263"/>
        </w:trPr>
        <w:tc>
          <w:tcPr>
            <w:tcW w:w="8815" w:type="dxa"/>
            <w:gridSpan w:val="2"/>
            <w:shd w:val="clear" w:color="auto" w:fill="1F4E79" w:themeFill="accent1" w:themeFillShade="80"/>
          </w:tcPr>
          <w:p w14:paraId="7D2337B0" w14:textId="77777777" w:rsidR="006531A4" w:rsidRPr="00B51D1F" w:rsidRDefault="006531A4" w:rsidP="006531A4">
            <w:pPr>
              <w:tabs>
                <w:tab w:val="left" w:pos="240"/>
                <w:tab w:val="center" w:pos="4839"/>
              </w:tabs>
              <w:rPr>
                <w:rFonts w:ascii="Arial" w:hAnsi="Arial" w:cs="Arial"/>
                <w:b/>
                <w:color w:val="FFFFFF" w:themeColor="background1"/>
              </w:rPr>
            </w:pPr>
            <w:r w:rsidRPr="00B51D1F">
              <w:rPr>
                <w:rFonts w:ascii="Arial" w:hAnsi="Arial" w:cs="Arial"/>
                <w:b/>
                <w:color w:val="FFFFFF" w:themeColor="background1"/>
              </w:rPr>
              <w:tab/>
            </w:r>
            <w:r w:rsidRPr="00B51D1F">
              <w:rPr>
                <w:rFonts w:ascii="Arial" w:hAnsi="Arial" w:cs="Arial"/>
                <w:b/>
                <w:color w:val="FFFFFF" w:themeColor="background1"/>
              </w:rPr>
              <w:tab/>
              <w:t>Case Summary</w:t>
            </w:r>
          </w:p>
        </w:tc>
      </w:tr>
      <w:tr w:rsidR="006531A4" w:rsidRPr="00B51D1F" w14:paraId="065BC67E" w14:textId="77777777" w:rsidTr="00956DEC">
        <w:trPr>
          <w:trHeight w:val="263"/>
        </w:trPr>
        <w:tc>
          <w:tcPr>
            <w:tcW w:w="8815" w:type="dxa"/>
            <w:gridSpan w:val="2"/>
            <w:shd w:val="clear" w:color="auto" w:fill="FFFFFF" w:themeFill="background1"/>
          </w:tcPr>
          <w:p w14:paraId="30E576A9" w14:textId="1725BACD" w:rsidR="00601529" w:rsidRDefault="00601529" w:rsidP="001A2D43">
            <w:pPr>
              <w:tabs>
                <w:tab w:val="left" w:pos="240"/>
                <w:tab w:val="center" w:pos="4839"/>
              </w:tabs>
              <w:rPr>
                <w:rFonts w:ascii="Arial" w:hAnsi="Arial" w:cs="Arial"/>
              </w:rPr>
            </w:pPr>
            <w:r w:rsidRPr="00601529">
              <w:rPr>
                <w:rFonts w:ascii="Arial" w:hAnsi="Arial" w:cs="Arial"/>
              </w:rPr>
              <w:t>The requested increase includes the roll-in to base rates of about $4.7 million that the company estimated it has been collecting through its Steps to Advance Virginia Energy, or SAVE, rider. Consequently, if the SCC were to approve the request as filed, the net impact on ratepayers would be a $5.8 million overall bill increase</w:t>
            </w:r>
            <w:r w:rsidR="003F36CF">
              <w:rPr>
                <w:rFonts w:ascii="Arial" w:hAnsi="Arial" w:cs="Arial"/>
              </w:rPr>
              <w:t>.</w:t>
            </w:r>
            <w:r w:rsidRPr="00601529">
              <w:rPr>
                <w:rFonts w:ascii="Arial" w:hAnsi="Arial" w:cs="Arial"/>
              </w:rPr>
              <w:br/>
            </w:r>
            <w:r w:rsidRPr="00601529">
              <w:rPr>
                <w:rFonts w:ascii="Arial" w:hAnsi="Arial" w:cs="Arial"/>
              </w:rPr>
              <w:br/>
              <w:t>The staff calculates the revenue the company has been collecting under the SAVE rider at $5.12 million. Consequently, if the SCC were to approve the staff proposal as filed, the net impact on ratepayers would be a $1.33 million overall bill increase.</w:t>
            </w:r>
            <w:r w:rsidRPr="00601529">
              <w:rPr>
                <w:rFonts w:ascii="Arial" w:hAnsi="Arial" w:cs="Arial"/>
              </w:rPr>
              <w:br/>
            </w:r>
            <w:r w:rsidRPr="00601529">
              <w:rPr>
                <w:rFonts w:ascii="Arial" w:hAnsi="Arial" w:cs="Arial"/>
              </w:rPr>
              <w:br/>
              <w:t>The Hearing Examiner calculates the revenue the company has been collecting under the SAVE rider at $5.12 million. Consequently, if the SCC were to approve the Examiner's proposal as filed, the net impact on ratepayers would be a $1.63 million overall bill increase.</w:t>
            </w:r>
            <w:r w:rsidRPr="00601529">
              <w:rPr>
                <w:rFonts w:ascii="Arial" w:hAnsi="Arial" w:cs="Arial"/>
              </w:rPr>
              <w:br/>
            </w:r>
            <w:r w:rsidRPr="00601529">
              <w:rPr>
                <w:rFonts w:ascii="Arial" w:hAnsi="Arial" w:cs="Arial"/>
              </w:rPr>
              <w:br/>
              <w:t>On rebuttal, the company indicated that $4.8 million of revenue requirement would be transferred from the SAVE Rider, implying a $4.3 million net overall rate increase.</w:t>
            </w:r>
            <w:r w:rsidRPr="00601529">
              <w:rPr>
                <w:rFonts w:ascii="Arial" w:hAnsi="Arial" w:cs="Arial"/>
              </w:rPr>
              <w:br/>
            </w:r>
            <w:r w:rsidRPr="00601529">
              <w:rPr>
                <w:rFonts w:ascii="Arial" w:hAnsi="Arial" w:cs="Arial"/>
              </w:rPr>
              <w:br/>
              <w:t>A Hearing Examiner's report was initially issued on Nov. 19, 2019, identifying a $6.8 million rate increase that reflected a $121.8 million rate base. On Nov. 26, an errata was issued correcting the examiner's recommendation to indicate a $7.1 million increase that reflected a $125.4 million rate base.</w:t>
            </w:r>
            <w:r w:rsidRPr="00601529">
              <w:rPr>
                <w:rFonts w:ascii="Arial" w:hAnsi="Arial" w:cs="Arial"/>
              </w:rPr>
              <w:br/>
            </w:r>
            <w:r w:rsidRPr="00601529">
              <w:rPr>
                <w:rFonts w:ascii="Arial" w:hAnsi="Arial" w:cs="Arial"/>
              </w:rPr>
              <w:br/>
              <w:t>The SCC order indicates that the revenue being transferred to base rates from the SAVE Rider is $4.4 million; so the net overall increase authorized is $2.9 million.</w:t>
            </w:r>
            <w:r w:rsidRPr="00601529">
              <w:rPr>
                <w:rFonts w:ascii="Arial" w:hAnsi="Arial" w:cs="Arial"/>
              </w:rPr>
              <w:br/>
            </w:r>
            <w:r w:rsidRPr="00601529">
              <w:rPr>
                <w:rFonts w:ascii="Arial" w:hAnsi="Arial" w:cs="Arial"/>
              </w:rPr>
              <w:br/>
              <w:t>Roanoke's previous rate case was an expedited proceeding, Case No. PUE-2013-00076, decided in May 2014, when the SCC approved a settlement calling for an $887,062 rate increase that was premised upon a 9.75% return on equity and a rate base valued at $65,974,939.</w:t>
            </w:r>
          </w:p>
          <w:p w14:paraId="1D7BF748" w14:textId="6ED2F068" w:rsidR="00956DEC" w:rsidRDefault="00956DEC" w:rsidP="001A2D43">
            <w:pPr>
              <w:tabs>
                <w:tab w:val="left" w:pos="240"/>
                <w:tab w:val="center" w:pos="4839"/>
              </w:tabs>
              <w:rPr>
                <w:rFonts w:ascii="Arial" w:hAnsi="Arial" w:cs="Arial"/>
              </w:rPr>
            </w:pPr>
          </w:p>
          <w:p w14:paraId="2D5DA551" w14:textId="7C9BDEAD" w:rsidR="00711497" w:rsidRDefault="00711497" w:rsidP="001A2D43">
            <w:pPr>
              <w:tabs>
                <w:tab w:val="left" w:pos="240"/>
                <w:tab w:val="center" w:pos="4839"/>
              </w:tabs>
              <w:rPr>
                <w:rFonts w:ascii="Arial" w:hAnsi="Arial" w:cs="Arial"/>
              </w:rPr>
            </w:pPr>
          </w:p>
          <w:p w14:paraId="02BA9347" w14:textId="4AB0CB28" w:rsidR="00711497" w:rsidRDefault="00711497" w:rsidP="001A2D43">
            <w:pPr>
              <w:tabs>
                <w:tab w:val="left" w:pos="240"/>
                <w:tab w:val="center" w:pos="4839"/>
              </w:tabs>
              <w:rPr>
                <w:rFonts w:ascii="Arial" w:hAnsi="Arial" w:cs="Arial"/>
              </w:rPr>
            </w:pPr>
          </w:p>
          <w:p w14:paraId="7B6E987E" w14:textId="5CDD1E3F" w:rsidR="00711497" w:rsidRDefault="00711497" w:rsidP="001A2D43">
            <w:pPr>
              <w:tabs>
                <w:tab w:val="left" w:pos="240"/>
                <w:tab w:val="center" w:pos="4839"/>
              </w:tabs>
              <w:rPr>
                <w:rFonts w:ascii="Arial" w:hAnsi="Arial" w:cs="Arial"/>
              </w:rPr>
            </w:pPr>
          </w:p>
          <w:p w14:paraId="29DE361F" w14:textId="4CCF17EE" w:rsidR="00711497" w:rsidRDefault="00711497" w:rsidP="001A2D43">
            <w:pPr>
              <w:tabs>
                <w:tab w:val="left" w:pos="240"/>
                <w:tab w:val="center" w:pos="4839"/>
              </w:tabs>
              <w:rPr>
                <w:rFonts w:ascii="Arial" w:hAnsi="Arial" w:cs="Arial"/>
              </w:rPr>
            </w:pPr>
          </w:p>
          <w:p w14:paraId="3FD5E90A" w14:textId="77777777" w:rsidR="00711497" w:rsidRDefault="00711497" w:rsidP="001A2D43">
            <w:pPr>
              <w:tabs>
                <w:tab w:val="left" w:pos="240"/>
                <w:tab w:val="center" w:pos="4839"/>
              </w:tabs>
              <w:rPr>
                <w:rFonts w:ascii="Arial" w:hAnsi="Arial" w:cs="Arial"/>
              </w:rPr>
            </w:pPr>
          </w:p>
          <w:p w14:paraId="05CF8CDE" w14:textId="4455F6AF" w:rsidR="00601529" w:rsidRPr="00C34414" w:rsidRDefault="00601529" w:rsidP="001A2D43">
            <w:pPr>
              <w:tabs>
                <w:tab w:val="left" w:pos="240"/>
                <w:tab w:val="center" w:pos="4839"/>
              </w:tabs>
              <w:rPr>
                <w:rFonts w:ascii="Arial" w:hAnsi="Arial" w:cs="Arial"/>
              </w:rPr>
            </w:pPr>
          </w:p>
        </w:tc>
      </w:tr>
      <w:tr w:rsidR="006531A4" w:rsidRPr="00B51D1F" w14:paraId="1D5A71E7" w14:textId="77777777" w:rsidTr="00956DEC">
        <w:trPr>
          <w:trHeight w:val="279"/>
        </w:trPr>
        <w:tc>
          <w:tcPr>
            <w:tcW w:w="8815" w:type="dxa"/>
            <w:gridSpan w:val="2"/>
            <w:shd w:val="clear" w:color="auto" w:fill="1F4E79" w:themeFill="accent1" w:themeFillShade="80"/>
          </w:tcPr>
          <w:p w14:paraId="09DA78D6" w14:textId="20199A9C" w:rsidR="006531A4" w:rsidRPr="000602A6" w:rsidRDefault="009C3A21" w:rsidP="006531A4">
            <w:pPr>
              <w:jc w:val="center"/>
              <w:rPr>
                <w:rFonts w:ascii="Arial" w:hAnsi="Arial" w:cs="Arial"/>
                <w:b/>
                <w:color w:val="FFFFFF" w:themeColor="background1"/>
              </w:rPr>
            </w:pPr>
            <w:r>
              <w:rPr>
                <w:rFonts w:ascii="Arial" w:hAnsi="Arial" w:cs="Arial"/>
                <w:b/>
                <w:color w:val="FFFFFF" w:themeColor="background1"/>
              </w:rPr>
              <w:lastRenderedPageBreak/>
              <w:t>January 29, 2020</w:t>
            </w:r>
          </w:p>
        </w:tc>
      </w:tr>
      <w:tr w:rsidR="006531A4" w:rsidRPr="00B51D1F" w14:paraId="053345A9" w14:textId="77777777" w:rsidTr="00956DEC">
        <w:trPr>
          <w:trHeight w:val="279"/>
        </w:trPr>
        <w:tc>
          <w:tcPr>
            <w:tcW w:w="2111" w:type="dxa"/>
            <w:shd w:val="clear" w:color="auto" w:fill="1F4E79" w:themeFill="accent1" w:themeFillShade="80"/>
          </w:tcPr>
          <w:p w14:paraId="31D05B53"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6704" w:type="dxa"/>
          </w:tcPr>
          <w:p w14:paraId="214C3FAB" w14:textId="0FC55903" w:rsidR="006531A4" w:rsidRPr="000602A6" w:rsidRDefault="009C3A21" w:rsidP="006531A4">
            <w:pPr>
              <w:rPr>
                <w:rFonts w:ascii="Arial" w:hAnsi="Arial" w:cs="Arial"/>
              </w:rPr>
            </w:pPr>
            <w:r>
              <w:rPr>
                <w:rFonts w:ascii="Arial" w:hAnsi="Arial" w:cs="Arial"/>
              </w:rPr>
              <w:t>Indiana Gas Co.</w:t>
            </w:r>
          </w:p>
        </w:tc>
      </w:tr>
      <w:tr w:rsidR="006531A4" w:rsidRPr="00B51D1F" w14:paraId="35DACD58" w14:textId="77777777" w:rsidTr="00956DEC">
        <w:trPr>
          <w:trHeight w:val="279"/>
        </w:trPr>
        <w:tc>
          <w:tcPr>
            <w:tcW w:w="2111" w:type="dxa"/>
            <w:shd w:val="clear" w:color="auto" w:fill="1F4E79" w:themeFill="accent1" w:themeFillShade="80"/>
          </w:tcPr>
          <w:p w14:paraId="1B042343"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State</w:t>
            </w:r>
          </w:p>
        </w:tc>
        <w:tc>
          <w:tcPr>
            <w:tcW w:w="6704" w:type="dxa"/>
          </w:tcPr>
          <w:p w14:paraId="08C98408" w14:textId="36036CE1" w:rsidR="006531A4" w:rsidRPr="00B51D1F" w:rsidRDefault="009C3A21" w:rsidP="006531A4">
            <w:pPr>
              <w:rPr>
                <w:rFonts w:ascii="Arial" w:hAnsi="Arial" w:cs="Arial"/>
              </w:rPr>
            </w:pPr>
            <w:r>
              <w:rPr>
                <w:rFonts w:ascii="Arial" w:hAnsi="Arial" w:cs="Arial"/>
              </w:rPr>
              <w:t>Indiana</w:t>
            </w:r>
          </w:p>
        </w:tc>
      </w:tr>
      <w:tr w:rsidR="006531A4" w:rsidRPr="00B51D1F" w14:paraId="36F78C3C" w14:textId="77777777" w:rsidTr="00956DEC">
        <w:trPr>
          <w:trHeight w:val="263"/>
        </w:trPr>
        <w:tc>
          <w:tcPr>
            <w:tcW w:w="2111" w:type="dxa"/>
            <w:shd w:val="clear" w:color="auto" w:fill="1F4E79" w:themeFill="accent1" w:themeFillShade="80"/>
          </w:tcPr>
          <w:p w14:paraId="260489C7"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tcPr>
          <w:p w14:paraId="172664D9" w14:textId="398C8E0E" w:rsidR="006531A4" w:rsidRPr="00B51D1F" w:rsidRDefault="0009189A" w:rsidP="006531A4">
            <w:pPr>
              <w:rPr>
                <w:rFonts w:ascii="Arial" w:hAnsi="Arial" w:cs="Arial"/>
                <w:color w:val="0000FF"/>
                <w:u w:val="single"/>
              </w:rPr>
            </w:pPr>
            <w:hyperlink r:id="rId16" w:history="1">
              <w:r w:rsidR="0084139F" w:rsidRPr="00583287">
                <w:rPr>
                  <w:rStyle w:val="Hyperlink"/>
                  <w:rFonts w:ascii="Arial" w:hAnsi="Arial" w:cs="Arial"/>
                </w:rPr>
                <w:t>Ca-44430-TDSIC-11</w:t>
              </w:r>
            </w:hyperlink>
          </w:p>
        </w:tc>
      </w:tr>
      <w:tr w:rsidR="006531A4" w:rsidRPr="00B51D1F" w14:paraId="247160F1" w14:textId="77777777" w:rsidTr="00956DEC">
        <w:trPr>
          <w:trHeight w:val="279"/>
        </w:trPr>
        <w:tc>
          <w:tcPr>
            <w:tcW w:w="2111" w:type="dxa"/>
            <w:shd w:val="clear" w:color="auto" w:fill="1F4E79" w:themeFill="accent1" w:themeFillShade="80"/>
          </w:tcPr>
          <w:p w14:paraId="51CBA480"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tcPr>
          <w:p w14:paraId="0C72A004" w14:textId="3120C409" w:rsidR="006531A4" w:rsidRPr="00416BC2" w:rsidRDefault="00B61DFD" w:rsidP="006531A4">
            <w:pPr>
              <w:rPr>
                <w:rFonts w:ascii="Arial" w:hAnsi="Arial" w:cs="Arial"/>
              </w:rPr>
            </w:pPr>
            <w:r>
              <w:rPr>
                <w:rFonts w:ascii="Arial" w:hAnsi="Arial" w:cs="Arial"/>
              </w:rPr>
              <w:t>$</w:t>
            </w:r>
            <w:r w:rsidR="003C78C9">
              <w:rPr>
                <w:rFonts w:ascii="Arial" w:hAnsi="Arial" w:cs="Arial"/>
              </w:rPr>
              <w:t>1,776,544</w:t>
            </w:r>
          </w:p>
        </w:tc>
      </w:tr>
      <w:tr w:rsidR="006531A4" w:rsidRPr="00B51D1F" w14:paraId="09F62BCF" w14:textId="77777777" w:rsidTr="00956DEC">
        <w:trPr>
          <w:trHeight w:val="263"/>
        </w:trPr>
        <w:tc>
          <w:tcPr>
            <w:tcW w:w="2111" w:type="dxa"/>
            <w:shd w:val="clear" w:color="auto" w:fill="1F4E79" w:themeFill="accent1" w:themeFillShade="80"/>
          </w:tcPr>
          <w:p w14:paraId="2CA0CCD4" w14:textId="77777777"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tcPr>
          <w:p w14:paraId="2FDE9B3C" w14:textId="637E2DB5" w:rsidR="006531A4" w:rsidRPr="00B51D1F" w:rsidRDefault="00252B50" w:rsidP="006531A4">
            <w:pPr>
              <w:rPr>
                <w:rFonts w:ascii="Arial" w:hAnsi="Arial" w:cs="Arial"/>
              </w:rPr>
            </w:pPr>
            <w:r>
              <w:rPr>
                <w:rFonts w:ascii="Arial" w:hAnsi="Arial" w:cs="Arial"/>
              </w:rPr>
              <w:t>10.2</w:t>
            </w:r>
            <w:r w:rsidR="00D51A45">
              <w:rPr>
                <w:rFonts w:ascii="Arial" w:hAnsi="Arial" w:cs="Arial"/>
              </w:rPr>
              <w:t>0</w:t>
            </w:r>
            <w:r w:rsidR="00B61DFD">
              <w:rPr>
                <w:rFonts w:ascii="Arial" w:hAnsi="Arial" w:cs="Arial"/>
              </w:rPr>
              <w:t>%</w:t>
            </w:r>
          </w:p>
        </w:tc>
      </w:tr>
      <w:tr w:rsidR="00125AE9" w:rsidRPr="00B51D1F" w14:paraId="3615F2C7" w14:textId="77777777" w:rsidTr="00956DEC">
        <w:trPr>
          <w:trHeight w:val="263"/>
        </w:trPr>
        <w:tc>
          <w:tcPr>
            <w:tcW w:w="2111" w:type="dxa"/>
            <w:shd w:val="clear" w:color="auto" w:fill="1F4E79" w:themeFill="accent1" w:themeFillShade="80"/>
          </w:tcPr>
          <w:p w14:paraId="43FB63F7" w14:textId="77777777" w:rsidR="00125AE9" w:rsidRPr="00B51D1F" w:rsidRDefault="00125AE9" w:rsidP="00125AE9">
            <w:pPr>
              <w:rPr>
                <w:rFonts w:ascii="Arial" w:hAnsi="Arial" w:cs="Arial"/>
                <w:b/>
                <w:color w:val="FFFFFF" w:themeColor="background1"/>
              </w:rPr>
            </w:pPr>
            <w:r>
              <w:rPr>
                <w:rFonts w:ascii="Arial" w:hAnsi="Arial" w:cs="Arial"/>
                <w:b/>
                <w:color w:val="FFFFFF" w:themeColor="background1"/>
              </w:rPr>
              <w:t>Intervenors</w:t>
            </w:r>
          </w:p>
        </w:tc>
        <w:tc>
          <w:tcPr>
            <w:tcW w:w="6704" w:type="dxa"/>
          </w:tcPr>
          <w:p w14:paraId="1E36C450" w14:textId="50E618D2" w:rsidR="00125AE9" w:rsidRPr="00B51D1F" w:rsidRDefault="001E5CBB" w:rsidP="000D68DD">
            <w:pPr>
              <w:rPr>
                <w:rFonts w:ascii="Arial" w:hAnsi="Arial" w:cs="Arial"/>
              </w:rPr>
            </w:pPr>
            <w:r>
              <w:rPr>
                <w:rFonts w:ascii="Arial" w:hAnsi="Arial" w:cs="Arial"/>
              </w:rPr>
              <w:t>Office of the Utility Consumer Counselor</w:t>
            </w:r>
          </w:p>
        </w:tc>
      </w:tr>
      <w:tr w:rsidR="00125AE9" w:rsidRPr="00B51D1F" w14:paraId="03F77675" w14:textId="77777777" w:rsidTr="00956DEC">
        <w:trPr>
          <w:trHeight w:val="263"/>
        </w:trPr>
        <w:tc>
          <w:tcPr>
            <w:tcW w:w="8815" w:type="dxa"/>
            <w:gridSpan w:val="2"/>
            <w:shd w:val="clear" w:color="auto" w:fill="1F4E79" w:themeFill="accent1" w:themeFillShade="80"/>
          </w:tcPr>
          <w:p w14:paraId="030F7B3D" w14:textId="77777777"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14:paraId="1896CA01" w14:textId="77777777" w:rsidTr="00956DEC">
        <w:trPr>
          <w:trHeight w:val="263"/>
        </w:trPr>
        <w:tc>
          <w:tcPr>
            <w:tcW w:w="8815" w:type="dxa"/>
            <w:gridSpan w:val="2"/>
            <w:shd w:val="clear" w:color="auto" w:fill="FFFFFF" w:themeFill="background1"/>
          </w:tcPr>
          <w:p w14:paraId="18CE0DE1" w14:textId="2D6917B4" w:rsidR="006D5AC0" w:rsidRDefault="0008401B" w:rsidP="00B61DFD">
            <w:pPr>
              <w:tabs>
                <w:tab w:val="left" w:pos="240"/>
                <w:tab w:val="center" w:pos="4839"/>
              </w:tabs>
              <w:rPr>
                <w:rFonts w:ascii="Arial" w:hAnsi="Arial" w:cs="Arial"/>
              </w:rPr>
            </w:pPr>
            <w:r w:rsidRPr="0008401B">
              <w:rPr>
                <w:rFonts w:ascii="Arial" w:hAnsi="Arial" w:cs="Arial"/>
              </w:rPr>
              <w:t>This was the eleventh proceeding to establish the rates to be charged to customers under the company's "compliance and system improvement adjustment," or CSIA, mechanism, which includes both federally mandated pipeline-safety initiatives and projects that are permitted under the state's "transmission, distribution, and storage system improvement charge," or TDSIC, statute.</w:t>
            </w:r>
            <w:r w:rsidRPr="0008401B">
              <w:rPr>
                <w:rFonts w:ascii="Arial" w:hAnsi="Arial" w:cs="Arial"/>
              </w:rPr>
              <w:br/>
            </w:r>
            <w:r w:rsidRPr="0008401B">
              <w:rPr>
                <w:rFonts w:ascii="Arial" w:hAnsi="Arial" w:cs="Arial"/>
              </w:rPr>
              <w:br/>
              <w:t xml:space="preserve">The company's requested rate increase included compliance-related investments and TDSIC-related investments made between </w:t>
            </w:r>
            <w:r w:rsidR="00A275A3">
              <w:rPr>
                <w:rFonts w:ascii="Arial" w:hAnsi="Arial" w:cs="Arial"/>
              </w:rPr>
              <w:t>January</w:t>
            </w:r>
            <w:r w:rsidRPr="0008401B">
              <w:rPr>
                <w:rFonts w:ascii="Arial" w:hAnsi="Arial" w:cs="Arial"/>
              </w:rPr>
              <w:t xml:space="preserve"> 1, 2019 and June 30, 2019.</w:t>
            </w:r>
            <w:r w:rsidRPr="0008401B">
              <w:rPr>
                <w:rFonts w:ascii="Arial" w:hAnsi="Arial" w:cs="Arial"/>
              </w:rPr>
              <w:br/>
            </w:r>
            <w:r w:rsidRPr="0008401B">
              <w:rPr>
                <w:rFonts w:ascii="Arial" w:hAnsi="Arial" w:cs="Arial"/>
              </w:rPr>
              <w:br/>
              <w:t>The portion of the increase associated with pipeline-safety initiatives was calculated using a 10.2% return on equity (46.84% of a regulatory capital structure) and a 6.38% overall return; as required by statute, the ROE is that authorized by the Indiana Utility Regulatory Commission, or URC, in the company's most recent gas base rate proceeding, Cause No. 43298. The portion of the increase associated with TDSIC projects was calculated using a 10.2% return on equity (48.42% of a regulatory capital structure) and a 6.52% overall return.</w:t>
            </w:r>
          </w:p>
          <w:p w14:paraId="75D17F1D" w14:textId="77777777" w:rsidR="0008401B" w:rsidRDefault="0008401B" w:rsidP="00B61DFD">
            <w:pPr>
              <w:tabs>
                <w:tab w:val="left" w:pos="240"/>
                <w:tab w:val="center" w:pos="4839"/>
              </w:tabs>
              <w:rPr>
                <w:rFonts w:ascii="Arial" w:hAnsi="Arial" w:cs="Arial"/>
              </w:rPr>
            </w:pPr>
          </w:p>
          <w:p w14:paraId="7094F5AE" w14:textId="77777777" w:rsidR="00711497" w:rsidRDefault="00711497" w:rsidP="00B61DFD">
            <w:pPr>
              <w:tabs>
                <w:tab w:val="left" w:pos="240"/>
                <w:tab w:val="center" w:pos="4839"/>
              </w:tabs>
              <w:rPr>
                <w:rFonts w:ascii="Arial" w:hAnsi="Arial" w:cs="Arial"/>
              </w:rPr>
            </w:pPr>
          </w:p>
          <w:p w14:paraId="693BDA2A" w14:textId="77777777" w:rsidR="00711497" w:rsidRDefault="00711497" w:rsidP="00B61DFD">
            <w:pPr>
              <w:tabs>
                <w:tab w:val="left" w:pos="240"/>
                <w:tab w:val="center" w:pos="4839"/>
              </w:tabs>
              <w:rPr>
                <w:rFonts w:ascii="Arial" w:hAnsi="Arial" w:cs="Arial"/>
              </w:rPr>
            </w:pPr>
          </w:p>
          <w:p w14:paraId="3F843F78" w14:textId="77777777" w:rsidR="00711497" w:rsidRDefault="00711497" w:rsidP="00B61DFD">
            <w:pPr>
              <w:tabs>
                <w:tab w:val="left" w:pos="240"/>
                <w:tab w:val="center" w:pos="4839"/>
              </w:tabs>
              <w:rPr>
                <w:rFonts w:ascii="Arial" w:hAnsi="Arial" w:cs="Arial"/>
              </w:rPr>
            </w:pPr>
          </w:p>
          <w:p w14:paraId="0A083A5B" w14:textId="77777777" w:rsidR="00711497" w:rsidRDefault="00711497" w:rsidP="00B61DFD">
            <w:pPr>
              <w:tabs>
                <w:tab w:val="left" w:pos="240"/>
                <w:tab w:val="center" w:pos="4839"/>
              </w:tabs>
              <w:rPr>
                <w:rFonts w:ascii="Arial" w:hAnsi="Arial" w:cs="Arial"/>
              </w:rPr>
            </w:pPr>
          </w:p>
          <w:p w14:paraId="153CC744" w14:textId="77777777" w:rsidR="00711497" w:rsidRDefault="00711497" w:rsidP="00B61DFD">
            <w:pPr>
              <w:tabs>
                <w:tab w:val="left" w:pos="240"/>
                <w:tab w:val="center" w:pos="4839"/>
              </w:tabs>
              <w:rPr>
                <w:rFonts w:ascii="Arial" w:hAnsi="Arial" w:cs="Arial"/>
              </w:rPr>
            </w:pPr>
          </w:p>
          <w:p w14:paraId="5BDD1505" w14:textId="77777777" w:rsidR="00711497" w:rsidRDefault="00711497" w:rsidP="00B61DFD">
            <w:pPr>
              <w:tabs>
                <w:tab w:val="left" w:pos="240"/>
                <w:tab w:val="center" w:pos="4839"/>
              </w:tabs>
              <w:rPr>
                <w:rFonts w:ascii="Arial" w:hAnsi="Arial" w:cs="Arial"/>
              </w:rPr>
            </w:pPr>
          </w:p>
          <w:p w14:paraId="7BA8E53F" w14:textId="77777777" w:rsidR="00711497" w:rsidRDefault="00711497" w:rsidP="00B61DFD">
            <w:pPr>
              <w:tabs>
                <w:tab w:val="left" w:pos="240"/>
                <w:tab w:val="center" w:pos="4839"/>
              </w:tabs>
              <w:rPr>
                <w:rFonts w:ascii="Arial" w:hAnsi="Arial" w:cs="Arial"/>
              </w:rPr>
            </w:pPr>
          </w:p>
          <w:p w14:paraId="6A0EE515" w14:textId="77777777" w:rsidR="00711497" w:rsidRDefault="00711497" w:rsidP="00B61DFD">
            <w:pPr>
              <w:tabs>
                <w:tab w:val="left" w:pos="240"/>
                <w:tab w:val="center" w:pos="4839"/>
              </w:tabs>
              <w:rPr>
                <w:rFonts w:ascii="Arial" w:hAnsi="Arial" w:cs="Arial"/>
              </w:rPr>
            </w:pPr>
          </w:p>
          <w:p w14:paraId="751FDCFD" w14:textId="77777777" w:rsidR="00711497" w:rsidRDefault="00711497" w:rsidP="00B61DFD">
            <w:pPr>
              <w:tabs>
                <w:tab w:val="left" w:pos="240"/>
                <w:tab w:val="center" w:pos="4839"/>
              </w:tabs>
              <w:rPr>
                <w:rFonts w:ascii="Arial" w:hAnsi="Arial" w:cs="Arial"/>
              </w:rPr>
            </w:pPr>
          </w:p>
          <w:p w14:paraId="286EA2DF" w14:textId="77777777" w:rsidR="00711497" w:rsidRDefault="00711497" w:rsidP="00B61DFD">
            <w:pPr>
              <w:tabs>
                <w:tab w:val="left" w:pos="240"/>
                <w:tab w:val="center" w:pos="4839"/>
              </w:tabs>
              <w:rPr>
                <w:rFonts w:ascii="Arial" w:hAnsi="Arial" w:cs="Arial"/>
              </w:rPr>
            </w:pPr>
          </w:p>
          <w:p w14:paraId="1FF0AC62" w14:textId="77777777" w:rsidR="00711497" w:rsidRDefault="00711497" w:rsidP="00B61DFD">
            <w:pPr>
              <w:tabs>
                <w:tab w:val="left" w:pos="240"/>
                <w:tab w:val="center" w:pos="4839"/>
              </w:tabs>
              <w:rPr>
                <w:rFonts w:ascii="Arial" w:hAnsi="Arial" w:cs="Arial"/>
              </w:rPr>
            </w:pPr>
          </w:p>
          <w:p w14:paraId="1E5C94C6" w14:textId="77777777" w:rsidR="00711497" w:rsidRDefault="00711497" w:rsidP="00B61DFD">
            <w:pPr>
              <w:tabs>
                <w:tab w:val="left" w:pos="240"/>
                <w:tab w:val="center" w:pos="4839"/>
              </w:tabs>
              <w:rPr>
                <w:rFonts w:ascii="Arial" w:hAnsi="Arial" w:cs="Arial"/>
              </w:rPr>
            </w:pPr>
          </w:p>
          <w:p w14:paraId="602497BA" w14:textId="77777777" w:rsidR="00711497" w:rsidRDefault="00711497" w:rsidP="00B61DFD">
            <w:pPr>
              <w:tabs>
                <w:tab w:val="left" w:pos="240"/>
                <w:tab w:val="center" w:pos="4839"/>
              </w:tabs>
              <w:rPr>
                <w:rFonts w:ascii="Arial" w:hAnsi="Arial" w:cs="Arial"/>
              </w:rPr>
            </w:pPr>
          </w:p>
          <w:p w14:paraId="2FE3772D" w14:textId="77777777" w:rsidR="00711497" w:rsidRDefault="00711497" w:rsidP="00B61DFD">
            <w:pPr>
              <w:tabs>
                <w:tab w:val="left" w:pos="240"/>
                <w:tab w:val="center" w:pos="4839"/>
              </w:tabs>
              <w:rPr>
                <w:rFonts w:ascii="Arial" w:hAnsi="Arial" w:cs="Arial"/>
              </w:rPr>
            </w:pPr>
          </w:p>
          <w:p w14:paraId="2A66B36C" w14:textId="77777777" w:rsidR="00711497" w:rsidRDefault="00711497" w:rsidP="00B61DFD">
            <w:pPr>
              <w:tabs>
                <w:tab w:val="left" w:pos="240"/>
                <w:tab w:val="center" w:pos="4839"/>
              </w:tabs>
              <w:rPr>
                <w:rFonts w:ascii="Arial" w:hAnsi="Arial" w:cs="Arial"/>
              </w:rPr>
            </w:pPr>
          </w:p>
          <w:p w14:paraId="6C234CF0" w14:textId="77777777" w:rsidR="00711497" w:rsidRDefault="00711497" w:rsidP="00B61DFD">
            <w:pPr>
              <w:tabs>
                <w:tab w:val="left" w:pos="240"/>
                <w:tab w:val="center" w:pos="4839"/>
              </w:tabs>
              <w:rPr>
                <w:rFonts w:ascii="Arial" w:hAnsi="Arial" w:cs="Arial"/>
              </w:rPr>
            </w:pPr>
          </w:p>
          <w:p w14:paraId="6706E740" w14:textId="77777777" w:rsidR="00711497" w:rsidRDefault="00711497" w:rsidP="00B61DFD">
            <w:pPr>
              <w:tabs>
                <w:tab w:val="left" w:pos="240"/>
                <w:tab w:val="center" w:pos="4839"/>
              </w:tabs>
              <w:rPr>
                <w:rFonts w:ascii="Arial" w:hAnsi="Arial" w:cs="Arial"/>
              </w:rPr>
            </w:pPr>
          </w:p>
          <w:p w14:paraId="21D617C6" w14:textId="77777777" w:rsidR="00711497" w:rsidRDefault="00711497" w:rsidP="00B61DFD">
            <w:pPr>
              <w:tabs>
                <w:tab w:val="left" w:pos="240"/>
                <w:tab w:val="center" w:pos="4839"/>
              </w:tabs>
              <w:rPr>
                <w:rFonts w:ascii="Arial" w:hAnsi="Arial" w:cs="Arial"/>
              </w:rPr>
            </w:pPr>
          </w:p>
          <w:p w14:paraId="0342111A" w14:textId="0EE27CB0" w:rsidR="00711497" w:rsidRPr="00B51D1F" w:rsidRDefault="00711497" w:rsidP="00B61DFD">
            <w:pPr>
              <w:tabs>
                <w:tab w:val="left" w:pos="240"/>
                <w:tab w:val="center" w:pos="4839"/>
              </w:tabs>
              <w:rPr>
                <w:rFonts w:ascii="Arial" w:hAnsi="Arial" w:cs="Arial"/>
              </w:rPr>
            </w:pPr>
          </w:p>
        </w:tc>
      </w:tr>
      <w:tr w:rsidR="00125AE9" w:rsidRPr="00B51D1F" w14:paraId="31F49DE4" w14:textId="77777777" w:rsidTr="00956DEC">
        <w:trPr>
          <w:trHeight w:val="279"/>
        </w:trPr>
        <w:tc>
          <w:tcPr>
            <w:tcW w:w="8815" w:type="dxa"/>
            <w:gridSpan w:val="2"/>
            <w:shd w:val="clear" w:color="auto" w:fill="1F4E79" w:themeFill="accent1" w:themeFillShade="80"/>
          </w:tcPr>
          <w:p w14:paraId="6BD0525D" w14:textId="52E11DB1" w:rsidR="00125AE9" w:rsidRPr="000602A6" w:rsidRDefault="0008401B" w:rsidP="00125AE9">
            <w:pPr>
              <w:jc w:val="center"/>
              <w:rPr>
                <w:rFonts w:ascii="Arial" w:hAnsi="Arial" w:cs="Arial"/>
                <w:b/>
                <w:color w:val="FFFFFF" w:themeColor="background1"/>
              </w:rPr>
            </w:pPr>
            <w:r>
              <w:rPr>
                <w:rFonts w:ascii="Arial" w:hAnsi="Arial" w:cs="Arial"/>
                <w:b/>
                <w:color w:val="FFFFFF" w:themeColor="background1"/>
              </w:rPr>
              <w:lastRenderedPageBreak/>
              <w:t>January 29, 2020</w:t>
            </w:r>
          </w:p>
        </w:tc>
      </w:tr>
      <w:tr w:rsidR="00125AE9" w:rsidRPr="00B51D1F" w14:paraId="54000981" w14:textId="77777777" w:rsidTr="00956DEC">
        <w:trPr>
          <w:trHeight w:val="279"/>
        </w:trPr>
        <w:tc>
          <w:tcPr>
            <w:tcW w:w="2111" w:type="dxa"/>
            <w:shd w:val="clear" w:color="auto" w:fill="1F4E79" w:themeFill="accent1" w:themeFillShade="80"/>
          </w:tcPr>
          <w:p w14:paraId="105A0115"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Company</w:t>
            </w:r>
          </w:p>
        </w:tc>
        <w:tc>
          <w:tcPr>
            <w:tcW w:w="6704" w:type="dxa"/>
          </w:tcPr>
          <w:p w14:paraId="67E84084" w14:textId="17E52C76" w:rsidR="00125AE9" w:rsidRPr="000602A6" w:rsidRDefault="00FC7A6B" w:rsidP="00125AE9">
            <w:pPr>
              <w:rPr>
                <w:rFonts w:ascii="Arial" w:hAnsi="Arial" w:cs="Arial"/>
              </w:rPr>
            </w:pPr>
            <w:r w:rsidRPr="00FC7A6B">
              <w:rPr>
                <w:rFonts w:ascii="Arial" w:hAnsi="Arial" w:cs="Arial"/>
              </w:rPr>
              <w:t>Southern Indiana Gas and Electric C</w:t>
            </w:r>
            <w:r>
              <w:rPr>
                <w:rFonts w:ascii="Arial" w:hAnsi="Arial" w:cs="Arial"/>
              </w:rPr>
              <w:t>o.</w:t>
            </w:r>
          </w:p>
        </w:tc>
      </w:tr>
      <w:tr w:rsidR="00125AE9" w:rsidRPr="00B51D1F" w14:paraId="54E24808" w14:textId="77777777" w:rsidTr="00956DEC">
        <w:trPr>
          <w:trHeight w:val="279"/>
        </w:trPr>
        <w:tc>
          <w:tcPr>
            <w:tcW w:w="2111" w:type="dxa"/>
            <w:shd w:val="clear" w:color="auto" w:fill="1F4E79" w:themeFill="accent1" w:themeFillShade="80"/>
          </w:tcPr>
          <w:p w14:paraId="207975E1"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State</w:t>
            </w:r>
          </w:p>
        </w:tc>
        <w:tc>
          <w:tcPr>
            <w:tcW w:w="6704" w:type="dxa"/>
          </w:tcPr>
          <w:p w14:paraId="6EABEE4F" w14:textId="78DDF85C" w:rsidR="00125AE9" w:rsidRPr="000602A6" w:rsidRDefault="003F1395" w:rsidP="00125AE9">
            <w:pPr>
              <w:rPr>
                <w:rFonts w:ascii="Arial" w:hAnsi="Arial" w:cs="Arial"/>
              </w:rPr>
            </w:pPr>
            <w:r>
              <w:rPr>
                <w:rFonts w:ascii="Arial" w:hAnsi="Arial" w:cs="Arial"/>
              </w:rPr>
              <w:t>Indiana</w:t>
            </w:r>
          </w:p>
        </w:tc>
      </w:tr>
      <w:tr w:rsidR="00125AE9" w:rsidRPr="00B51D1F" w14:paraId="073EAAB8" w14:textId="77777777" w:rsidTr="00956DEC">
        <w:trPr>
          <w:trHeight w:val="263"/>
        </w:trPr>
        <w:tc>
          <w:tcPr>
            <w:tcW w:w="2111" w:type="dxa"/>
            <w:shd w:val="clear" w:color="auto" w:fill="1F4E79" w:themeFill="accent1" w:themeFillShade="80"/>
          </w:tcPr>
          <w:p w14:paraId="07F23426"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tcPr>
          <w:p w14:paraId="71C75617" w14:textId="6C90BDAE" w:rsidR="00125AE9" w:rsidRPr="008A2167" w:rsidRDefault="0009189A" w:rsidP="00125AE9">
            <w:pPr>
              <w:rPr>
                <w:rFonts w:ascii="Arial" w:hAnsi="Arial" w:cs="Arial"/>
              </w:rPr>
            </w:pPr>
            <w:hyperlink r:id="rId17" w:history="1">
              <w:r w:rsidR="0048285A" w:rsidRPr="00583287">
                <w:rPr>
                  <w:rStyle w:val="Hyperlink"/>
                  <w:rFonts w:ascii="Arial" w:hAnsi="Arial" w:cs="Arial"/>
                </w:rPr>
                <w:t>Ca-444</w:t>
              </w:r>
              <w:r w:rsidR="0048285A">
                <w:rPr>
                  <w:rStyle w:val="Hyperlink"/>
                  <w:rFonts w:ascii="Arial" w:hAnsi="Arial" w:cs="Arial"/>
                </w:rPr>
                <w:t>29</w:t>
              </w:r>
              <w:r w:rsidR="0048285A" w:rsidRPr="00583287">
                <w:rPr>
                  <w:rStyle w:val="Hyperlink"/>
                  <w:rFonts w:ascii="Arial" w:hAnsi="Arial" w:cs="Arial"/>
                </w:rPr>
                <w:t>-TDSIC-11</w:t>
              </w:r>
            </w:hyperlink>
          </w:p>
        </w:tc>
      </w:tr>
      <w:tr w:rsidR="00125AE9" w:rsidRPr="00B51D1F" w14:paraId="1B396078" w14:textId="77777777" w:rsidTr="00956DEC">
        <w:trPr>
          <w:trHeight w:val="279"/>
        </w:trPr>
        <w:tc>
          <w:tcPr>
            <w:tcW w:w="2111" w:type="dxa"/>
            <w:shd w:val="clear" w:color="auto" w:fill="1F4E79" w:themeFill="accent1" w:themeFillShade="80"/>
          </w:tcPr>
          <w:p w14:paraId="0A27F9C9"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tcPr>
          <w:p w14:paraId="3AA65C8D" w14:textId="0963BA4E" w:rsidR="00125AE9" w:rsidRPr="00861F4B" w:rsidRDefault="00997B94" w:rsidP="00125AE9">
            <w:pPr>
              <w:rPr>
                <w:rFonts w:ascii="Arial" w:hAnsi="Arial" w:cs="Arial"/>
              </w:rPr>
            </w:pPr>
            <w:r>
              <w:rPr>
                <w:rFonts w:ascii="Arial" w:hAnsi="Arial" w:cs="Arial"/>
              </w:rPr>
              <w:t>$</w:t>
            </w:r>
            <w:r w:rsidR="00340967">
              <w:rPr>
                <w:rFonts w:ascii="Arial" w:hAnsi="Arial" w:cs="Arial"/>
              </w:rPr>
              <w:t>2,195,630</w:t>
            </w:r>
          </w:p>
        </w:tc>
      </w:tr>
      <w:tr w:rsidR="00125AE9" w:rsidRPr="00B51D1F" w14:paraId="46C52D12" w14:textId="77777777" w:rsidTr="00956DEC">
        <w:trPr>
          <w:trHeight w:val="263"/>
        </w:trPr>
        <w:tc>
          <w:tcPr>
            <w:tcW w:w="2111" w:type="dxa"/>
            <w:shd w:val="clear" w:color="auto" w:fill="1F4E79" w:themeFill="accent1" w:themeFillShade="80"/>
          </w:tcPr>
          <w:p w14:paraId="0336ADDE"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tcPr>
          <w:p w14:paraId="63B8E20E" w14:textId="7AA2275B" w:rsidR="00125AE9" w:rsidRPr="00861F4B" w:rsidRDefault="00E61B26" w:rsidP="00125AE9">
            <w:pPr>
              <w:rPr>
                <w:rFonts w:ascii="Arial" w:hAnsi="Arial" w:cs="Arial"/>
              </w:rPr>
            </w:pPr>
            <w:r>
              <w:rPr>
                <w:rFonts w:ascii="Arial" w:hAnsi="Arial" w:cs="Arial"/>
              </w:rPr>
              <w:t>10.15</w:t>
            </w:r>
            <w:r w:rsidR="00997B94">
              <w:rPr>
                <w:rFonts w:ascii="Arial" w:hAnsi="Arial" w:cs="Arial"/>
              </w:rPr>
              <w:t>%</w:t>
            </w:r>
          </w:p>
        </w:tc>
      </w:tr>
      <w:tr w:rsidR="00125AE9" w:rsidRPr="00B51D1F" w14:paraId="32CA07A7" w14:textId="77777777" w:rsidTr="00956DEC">
        <w:trPr>
          <w:trHeight w:val="279"/>
        </w:trPr>
        <w:tc>
          <w:tcPr>
            <w:tcW w:w="2111" w:type="dxa"/>
            <w:shd w:val="clear" w:color="auto" w:fill="1F4E79" w:themeFill="accent1" w:themeFillShade="80"/>
          </w:tcPr>
          <w:p w14:paraId="155EF14B" w14:textId="77777777"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Intervenors</w:t>
            </w:r>
          </w:p>
        </w:tc>
        <w:tc>
          <w:tcPr>
            <w:tcW w:w="6704" w:type="dxa"/>
          </w:tcPr>
          <w:p w14:paraId="765B9758" w14:textId="5453DCE9" w:rsidR="0010764C" w:rsidRPr="00861F4B" w:rsidRDefault="003F6EF9" w:rsidP="00125AE9">
            <w:pPr>
              <w:rPr>
                <w:rFonts w:ascii="Arial" w:hAnsi="Arial" w:cs="Arial"/>
              </w:rPr>
            </w:pPr>
            <w:r w:rsidRPr="003F6EF9">
              <w:rPr>
                <w:rFonts w:ascii="Arial" w:hAnsi="Arial" w:cs="Arial"/>
              </w:rPr>
              <w:t>Office of the Utility Consumer Counselor</w:t>
            </w:r>
          </w:p>
        </w:tc>
      </w:tr>
      <w:tr w:rsidR="00125AE9" w:rsidRPr="00B51D1F" w14:paraId="539D5D8F" w14:textId="77777777" w:rsidTr="00956DEC">
        <w:trPr>
          <w:trHeight w:val="263"/>
        </w:trPr>
        <w:tc>
          <w:tcPr>
            <w:tcW w:w="8815" w:type="dxa"/>
            <w:gridSpan w:val="2"/>
            <w:shd w:val="clear" w:color="auto" w:fill="1F4E79" w:themeFill="accent1" w:themeFillShade="80"/>
          </w:tcPr>
          <w:p w14:paraId="0B944EBD" w14:textId="77777777"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14:paraId="74BA46CC" w14:textId="77777777" w:rsidTr="00956DEC">
        <w:trPr>
          <w:trHeight w:val="263"/>
        </w:trPr>
        <w:tc>
          <w:tcPr>
            <w:tcW w:w="8815" w:type="dxa"/>
            <w:gridSpan w:val="2"/>
            <w:shd w:val="clear" w:color="auto" w:fill="auto"/>
          </w:tcPr>
          <w:p w14:paraId="4301E9AB" w14:textId="592AD85B" w:rsidR="00B34510" w:rsidRDefault="00695380" w:rsidP="00695380">
            <w:pPr>
              <w:contextualSpacing/>
              <w:rPr>
                <w:rFonts w:ascii="Arial" w:hAnsi="Arial" w:cs="Arial"/>
              </w:rPr>
            </w:pPr>
            <w:r w:rsidRPr="00695380">
              <w:rPr>
                <w:rFonts w:ascii="Arial" w:hAnsi="Arial" w:cs="Arial"/>
              </w:rPr>
              <w:t>This was the eleventh proceeding to establish the rates to be charged to customers under the company's "compliance and system improvement adjustment," or CSIA, mechanism, which includes both federally mandated pipeline-safety initiatives and projects that are permitted under the state's "transmission, distribution, and storage system improvement charge," or TDSIC, statute.</w:t>
            </w:r>
            <w:r w:rsidRPr="00695380">
              <w:rPr>
                <w:rFonts w:ascii="Arial" w:hAnsi="Arial" w:cs="Arial"/>
              </w:rPr>
              <w:br/>
            </w:r>
            <w:r w:rsidRPr="00695380">
              <w:rPr>
                <w:rFonts w:ascii="Arial" w:hAnsi="Arial" w:cs="Arial"/>
              </w:rPr>
              <w:br/>
              <w:t xml:space="preserve">The company's requested rate increase included compliance-related investments and TDSIC-related investments made between </w:t>
            </w:r>
            <w:r w:rsidR="00A275A3">
              <w:rPr>
                <w:rFonts w:ascii="Arial" w:hAnsi="Arial" w:cs="Arial"/>
              </w:rPr>
              <w:t>January</w:t>
            </w:r>
            <w:r w:rsidRPr="00695380">
              <w:rPr>
                <w:rFonts w:ascii="Arial" w:hAnsi="Arial" w:cs="Arial"/>
              </w:rPr>
              <w:t xml:space="preserve"> 1, 2019 and June 30, 2019.</w:t>
            </w:r>
            <w:r w:rsidRPr="00695380">
              <w:rPr>
                <w:rFonts w:ascii="Arial" w:hAnsi="Arial" w:cs="Arial"/>
              </w:rPr>
              <w:br/>
            </w:r>
            <w:r w:rsidRPr="00695380">
              <w:rPr>
                <w:rFonts w:ascii="Arial" w:hAnsi="Arial" w:cs="Arial"/>
              </w:rPr>
              <w:br/>
              <w:t>The portion of the increase associated with pipeline-safety initiatives was calculated using a 10.15% return on equity (47.21% of a regulatory capital structure) and a 6.32% overall return; as required by statute, the ROE is that authorized by the Indiana Utility Regulatory Commission in the company's most recent gas base rate proceeding, Cause No. 43112. The portion of the increase associated with TDSIC projects was calculated using a 10.15% return on equity (47.64% of a regulatory capital structure) and a 6.37% overall return.</w:t>
            </w:r>
          </w:p>
          <w:p w14:paraId="0E2C4842" w14:textId="77777777" w:rsidR="00695380" w:rsidRDefault="00695380" w:rsidP="00695380">
            <w:pPr>
              <w:contextualSpacing/>
              <w:rPr>
                <w:rFonts w:ascii="Arial" w:hAnsi="Arial" w:cs="Arial"/>
              </w:rPr>
            </w:pPr>
          </w:p>
          <w:p w14:paraId="54F1CA99" w14:textId="77777777" w:rsidR="00711497" w:rsidRDefault="00711497" w:rsidP="00695380">
            <w:pPr>
              <w:contextualSpacing/>
              <w:rPr>
                <w:rFonts w:ascii="Arial" w:hAnsi="Arial" w:cs="Arial"/>
              </w:rPr>
            </w:pPr>
          </w:p>
          <w:p w14:paraId="330FA9D8" w14:textId="77777777" w:rsidR="00711497" w:rsidRDefault="00711497" w:rsidP="00695380">
            <w:pPr>
              <w:contextualSpacing/>
              <w:rPr>
                <w:rFonts w:ascii="Arial" w:hAnsi="Arial" w:cs="Arial"/>
              </w:rPr>
            </w:pPr>
          </w:p>
          <w:p w14:paraId="6D0C66B5" w14:textId="77777777" w:rsidR="00711497" w:rsidRDefault="00711497" w:rsidP="00695380">
            <w:pPr>
              <w:contextualSpacing/>
              <w:rPr>
                <w:rFonts w:ascii="Arial" w:hAnsi="Arial" w:cs="Arial"/>
              </w:rPr>
            </w:pPr>
          </w:p>
          <w:p w14:paraId="4BC534A2" w14:textId="77777777" w:rsidR="00711497" w:rsidRDefault="00711497" w:rsidP="00695380">
            <w:pPr>
              <w:contextualSpacing/>
              <w:rPr>
                <w:rFonts w:ascii="Arial" w:hAnsi="Arial" w:cs="Arial"/>
              </w:rPr>
            </w:pPr>
          </w:p>
          <w:p w14:paraId="5AC635AC" w14:textId="77777777" w:rsidR="00711497" w:rsidRDefault="00711497" w:rsidP="00695380">
            <w:pPr>
              <w:contextualSpacing/>
              <w:rPr>
                <w:rFonts w:ascii="Arial" w:hAnsi="Arial" w:cs="Arial"/>
              </w:rPr>
            </w:pPr>
          </w:p>
          <w:p w14:paraId="59E41BD9" w14:textId="77777777" w:rsidR="00711497" w:rsidRDefault="00711497" w:rsidP="00695380">
            <w:pPr>
              <w:contextualSpacing/>
              <w:rPr>
                <w:rFonts w:ascii="Arial" w:hAnsi="Arial" w:cs="Arial"/>
              </w:rPr>
            </w:pPr>
          </w:p>
          <w:p w14:paraId="5A97BA59" w14:textId="77777777" w:rsidR="00711497" w:rsidRDefault="00711497" w:rsidP="00695380">
            <w:pPr>
              <w:contextualSpacing/>
              <w:rPr>
                <w:rFonts w:ascii="Arial" w:hAnsi="Arial" w:cs="Arial"/>
              </w:rPr>
            </w:pPr>
          </w:p>
          <w:p w14:paraId="43F5CEF7" w14:textId="77777777" w:rsidR="00711497" w:rsidRDefault="00711497" w:rsidP="00695380">
            <w:pPr>
              <w:contextualSpacing/>
              <w:rPr>
                <w:rFonts w:ascii="Arial" w:hAnsi="Arial" w:cs="Arial"/>
              </w:rPr>
            </w:pPr>
          </w:p>
          <w:p w14:paraId="68FD86E6" w14:textId="77777777" w:rsidR="00711497" w:rsidRDefault="00711497" w:rsidP="00695380">
            <w:pPr>
              <w:contextualSpacing/>
              <w:rPr>
                <w:rFonts w:ascii="Arial" w:hAnsi="Arial" w:cs="Arial"/>
              </w:rPr>
            </w:pPr>
          </w:p>
          <w:p w14:paraId="1BBDD8C6" w14:textId="77777777" w:rsidR="00711497" w:rsidRDefault="00711497" w:rsidP="00695380">
            <w:pPr>
              <w:contextualSpacing/>
              <w:rPr>
                <w:rFonts w:ascii="Arial" w:hAnsi="Arial" w:cs="Arial"/>
              </w:rPr>
            </w:pPr>
          </w:p>
          <w:p w14:paraId="5C1BC2B6" w14:textId="77777777" w:rsidR="00711497" w:rsidRDefault="00711497" w:rsidP="00695380">
            <w:pPr>
              <w:contextualSpacing/>
              <w:rPr>
                <w:rFonts w:ascii="Arial" w:hAnsi="Arial" w:cs="Arial"/>
              </w:rPr>
            </w:pPr>
          </w:p>
          <w:p w14:paraId="7C8F1039" w14:textId="77777777" w:rsidR="00711497" w:rsidRDefault="00711497" w:rsidP="00695380">
            <w:pPr>
              <w:contextualSpacing/>
              <w:rPr>
                <w:rFonts w:ascii="Arial" w:hAnsi="Arial" w:cs="Arial"/>
              </w:rPr>
            </w:pPr>
          </w:p>
          <w:p w14:paraId="7E943A8B" w14:textId="77777777" w:rsidR="00711497" w:rsidRDefault="00711497" w:rsidP="00695380">
            <w:pPr>
              <w:contextualSpacing/>
              <w:rPr>
                <w:rFonts w:ascii="Arial" w:hAnsi="Arial" w:cs="Arial"/>
              </w:rPr>
            </w:pPr>
          </w:p>
          <w:p w14:paraId="14A700FC" w14:textId="77777777" w:rsidR="00711497" w:rsidRDefault="00711497" w:rsidP="00695380">
            <w:pPr>
              <w:contextualSpacing/>
              <w:rPr>
                <w:rFonts w:ascii="Arial" w:hAnsi="Arial" w:cs="Arial"/>
              </w:rPr>
            </w:pPr>
          </w:p>
          <w:p w14:paraId="7DBB80DF" w14:textId="77777777" w:rsidR="00711497" w:rsidRDefault="00711497" w:rsidP="00695380">
            <w:pPr>
              <w:contextualSpacing/>
              <w:rPr>
                <w:rFonts w:ascii="Arial" w:hAnsi="Arial" w:cs="Arial"/>
              </w:rPr>
            </w:pPr>
          </w:p>
          <w:p w14:paraId="04DECAE8" w14:textId="77777777" w:rsidR="00711497" w:rsidRDefault="00711497" w:rsidP="00695380">
            <w:pPr>
              <w:contextualSpacing/>
              <w:rPr>
                <w:rFonts w:ascii="Arial" w:hAnsi="Arial" w:cs="Arial"/>
              </w:rPr>
            </w:pPr>
          </w:p>
          <w:p w14:paraId="0A65E18F" w14:textId="77777777" w:rsidR="00711497" w:rsidRDefault="00711497" w:rsidP="00695380">
            <w:pPr>
              <w:contextualSpacing/>
              <w:rPr>
                <w:rFonts w:ascii="Arial" w:hAnsi="Arial" w:cs="Arial"/>
              </w:rPr>
            </w:pPr>
          </w:p>
          <w:p w14:paraId="475B8F14" w14:textId="77777777" w:rsidR="00711497" w:rsidRDefault="00711497" w:rsidP="00695380">
            <w:pPr>
              <w:contextualSpacing/>
              <w:rPr>
                <w:rFonts w:ascii="Arial" w:hAnsi="Arial" w:cs="Arial"/>
              </w:rPr>
            </w:pPr>
          </w:p>
          <w:p w14:paraId="5DCF4C98" w14:textId="4F35BDC0" w:rsidR="00711497" w:rsidRPr="004A577F" w:rsidRDefault="00711497" w:rsidP="00695380">
            <w:pPr>
              <w:contextualSpacing/>
              <w:rPr>
                <w:rFonts w:ascii="Arial" w:hAnsi="Arial" w:cs="Arial"/>
              </w:rPr>
            </w:pPr>
          </w:p>
        </w:tc>
      </w:tr>
      <w:tr w:rsidR="002A162A" w:rsidRPr="000602A6" w14:paraId="54155670" w14:textId="77777777" w:rsidTr="00956DEC">
        <w:trPr>
          <w:trHeight w:val="279"/>
        </w:trPr>
        <w:tc>
          <w:tcPr>
            <w:tcW w:w="8815" w:type="dxa"/>
            <w:gridSpan w:val="2"/>
            <w:shd w:val="clear" w:color="auto" w:fill="1F4E79" w:themeFill="accent1" w:themeFillShade="80"/>
          </w:tcPr>
          <w:p w14:paraId="293AE94F" w14:textId="20F1F9C5" w:rsidR="002A162A" w:rsidRPr="000602A6" w:rsidRDefault="00121AAD" w:rsidP="00975117">
            <w:pPr>
              <w:jc w:val="center"/>
              <w:rPr>
                <w:rFonts w:ascii="Arial" w:hAnsi="Arial" w:cs="Arial"/>
                <w:b/>
                <w:color w:val="FFFFFF" w:themeColor="background1"/>
              </w:rPr>
            </w:pPr>
            <w:r w:rsidRPr="00121AAD">
              <w:rPr>
                <w:rFonts w:ascii="Arial" w:hAnsi="Arial" w:cs="Arial"/>
                <w:b/>
                <w:color w:val="FFFFFF" w:themeColor="background1"/>
              </w:rPr>
              <w:lastRenderedPageBreak/>
              <w:t>February 3, 2020</w:t>
            </w:r>
          </w:p>
        </w:tc>
      </w:tr>
      <w:tr w:rsidR="002A162A" w:rsidRPr="000602A6" w14:paraId="45BD79BB" w14:textId="77777777" w:rsidTr="00956DEC">
        <w:trPr>
          <w:trHeight w:val="279"/>
        </w:trPr>
        <w:tc>
          <w:tcPr>
            <w:tcW w:w="2111" w:type="dxa"/>
            <w:shd w:val="clear" w:color="auto" w:fill="1F4E79" w:themeFill="accent1" w:themeFillShade="80"/>
          </w:tcPr>
          <w:p w14:paraId="51A1DF41"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6704" w:type="dxa"/>
          </w:tcPr>
          <w:p w14:paraId="49FE8EEA" w14:textId="4BE4623F" w:rsidR="002A162A" w:rsidRPr="000602A6" w:rsidRDefault="00121AAD" w:rsidP="00975117">
            <w:pPr>
              <w:rPr>
                <w:rFonts w:ascii="Arial" w:hAnsi="Arial" w:cs="Arial"/>
              </w:rPr>
            </w:pPr>
            <w:r>
              <w:rPr>
                <w:rFonts w:ascii="Arial" w:hAnsi="Arial" w:cs="Arial"/>
              </w:rPr>
              <w:t>Cascade Natural Gas Corp.</w:t>
            </w:r>
            <w:r w:rsidR="001B296E">
              <w:rPr>
                <w:rFonts w:ascii="Arial" w:hAnsi="Arial" w:cs="Arial"/>
              </w:rPr>
              <w:t xml:space="preserve"> </w:t>
            </w:r>
          </w:p>
        </w:tc>
      </w:tr>
      <w:tr w:rsidR="002A162A" w:rsidRPr="00B51D1F" w14:paraId="65138493" w14:textId="77777777" w:rsidTr="00956DEC">
        <w:trPr>
          <w:trHeight w:val="279"/>
        </w:trPr>
        <w:tc>
          <w:tcPr>
            <w:tcW w:w="2111" w:type="dxa"/>
            <w:shd w:val="clear" w:color="auto" w:fill="1F4E79" w:themeFill="accent1" w:themeFillShade="80"/>
          </w:tcPr>
          <w:p w14:paraId="10F3C2CB"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6704" w:type="dxa"/>
          </w:tcPr>
          <w:p w14:paraId="7284A0A3" w14:textId="43A2A68F" w:rsidR="002A162A" w:rsidRPr="00B51D1F" w:rsidRDefault="00121AAD" w:rsidP="00975117">
            <w:pPr>
              <w:rPr>
                <w:rFonts w:ascii="Arial" w:hAnsi="Arial" w:cs="Arial"/>
              </w:rPr>
            </w:pPr>
            <w:r>
              <w:rPr>
                <w:rFonts w:ascii="Arial" w:hAnsi="Arial" w:cs="Arial"/>
              </w:rPr>
              <w:t>Washington</w:t>
            </w:r>
          </w:p>
        </w:tc>
      </w:tr>
      <w:tr w:rsidR="002A162A" w:rsidRPr="00B51D1F" w14:paraId="125508A8" w14:textId="77777777" w:rsidTr="00956DEC">
        <w:trPr>
          <w:trHeight w:val="263"/>
        </w:trPr>
        <w:tc>
          <w:tcPr>
            <w:tcW w:w="2111" w:type="dxa"/>
            <w:shd w:val="clear" w:color="auto" w:fill="1F4E79" w:themeFill="accent1" w:themeFillShade="80"/>
          </w:tcPr>
          <w:p w14:paraId="38D1E2E1"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tcPr>
          <w:p w14:paraId="66F9A5A8" w14:textId="6A5818A0" w:rsidR="002A162A" w:rsidRPr="00B51D1F" w:rsidRDefault="0009189A" w:rsidP="00975117">
            <w:pPr>
              <w:rPr>
                <w:rFonts w:ascii="Arial" w:hAnsi="Arial" w:cs="Arial"/>
                <w:color w:val="0000FF"/>
                <w:u w:val="single"/>
              </w:rPr>
            </w:pPr>
            <w:hyperlink r:id="rId18" w:history="1">
              <w:r w:rsidR="00492846" w:rsidRPr="009A21F7">
                <w:rPr>
                  <w:rStyle w:val="Hyperlink"/>
                  <w:rFonts w:ascii="Arial" w:hAnsi="Arial" w:cs="Arial"/>
                </w:rPr>
                <w:t>D-UG-190210</w:t>
              </w:r>
              <w:r w:rsidR="001B296E" w:rsidRPr="009A21F7">
                <w:rPr>
                  <w:rStyle w:val="Hyperlink"/>
                  <w:rFonts w:ascii="Arial" w:hAnsi="Arial" w:cs="Arial"/>
                </w:rPr>
                <w:t>7</w:t>
              </w:r>
            </w:hyperlink>
          </w:p>
        </w:tc>
      </w:tr>
      <w:tr w:rsidR="002A162A" w:rsidRPr="00416BC2" w14:paraId="370F7860" w14:textId="77777777" w:rsidTr="00956DEC">
        <w:trPr>
          <w:trHeight w:val="279"/>
        </w:trPr>
        <w:tc>
          <w:tcPr>
            <w:tcW w:w="2111" w:type="dxa"/>
            <w:shd w:val="clear" w:color="auto" w:fill="1F4E79" w:themeFill="accent1" w:themeFillShade="80"/>
          </w:tcPr>
          <w:p w14:paraId="6339DAB6"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tcPr>
          <w:p w14:paraId="3D887579" w14:textId="7B8B34CC" w:rsidR="002A162A" w:rsidRPr="00416BC2" w:rsidRDefault="003B451E" w:rsidP="00975117">
            <w:pPr>
              <w:rPr>
                <w:rFonts w:ascii="Arial" w:hAnsi="Arial" w:cs="Arial"/>
              </w:rPr>
            </w:pPr>
            <w:r>
              <w:rPr>
                <w:rFonts w:ascii="Arial" w:hAnsi="Arial" w:cs="Arial"/>
              </w:rPr>
              <w:t>$</w:t>
            </w:r>
            <w:r w:rsidR="001C1802">
              <w:rPr>
                <w:rFonts w:ascii="Arial" w:hAnsi="Arial" w:cs="Arial"/>
              </w:rPr>
              <w:t>6,500,000</w:t>
            </w:r>
          </w:p>
        </w:tc>
      </w:tr>
      <w:tr w:rsidR="002A162A" w:rsidRPr="00B51D1F" w14:paraId="2C878F9F" w14:textId="77777777" w:rsidTr="00956DEC">
        <w:trPr>
          <w:trHeight w:val="263"/>
        </w:trPr>
        <w:tc>
          <w:tcPr>
            <w:tcW w:w="2111" w:type="dxa"/>
            <w:shd w:val="clear" w:color="auto" w:fill="1F4E79" w:themeFill="accent1" w:themeFillShade="80"/>
          </w:tcPr>
          <w:p w14:paraId="6789D769"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tcPr>
          <w:p w14:paraId="2E19BD7F" w14:textId="26CEB839" w:rsidR="002A162A" w:rsidRPr="00B51D1F" w:rsidRDefault="001C1802" w:rsidP="00975117">
            <w:pPr>
              <w:rPr>
                <w:rFonts w:ascii="Arial" w:hAnsi="Arial" w:cs="Arial"/>
              </w:rPr>
            </w:pPr>
            <w:r>
              <w:rPr>
                <w:rFonts w:ascii="Arial" w:hAnsi="Arial" w:cs="Arial"/>
              </w:rPr>
              <w:t>9.4</w:t>
            </w:r>
            <w:r w:rsidR="00D51A45">
              <w:rPr>
                <w:rFonts w:ascii="Arial" w:hAnsi="Arial" w:cs="Arial"/>
              </w:rPr>
              <w:t>0</w:t>
            </w:r>
            <w:r>
              <w:rPr>
                <w:rFonts w:ascii="Arial" w:hAnsi="Arial" w:cs="Arial"/>
              </w:rPr>
              <w:t>%</w:t>
            </w:r>
          </w:p>
        </w:tc>
      </w:tr>
      <w:tr w:rsidR="002A162A" w:rsidRPr="00B51D1F" w14:paraId="29EFAF0E" w14:textId="77777777" w:rsidTr="00956DEC">
        <w:trPr>
          <w:trHeight w:val="263"/>
        </w:trPr>
        <w:tc>
          <w:tcPr>
            <w:tcW w:w="2111" w:type="dxa"/>
            <w:shd w:val="clear" w:color="auto" w:fill="1F4E79" w:themeFill="accent1" w:themeFillShade="80"/>
          </w:tcPr>
          <w:p w14:paraId="679DA279"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6704" w:type="dxa"/>
          </w:tcPr>
          <w:p w14:paraId="256EE263" w14:textId="3EE7023A" w:rsidR="002A162A" w:rsidRPr="00B51D1F" w:rsidRDefault="00A76C43" w:rsidP="00975117">
            <w:pPr>
              <w:rPr>
                <w:rFonts w:ascii="Arial" w:hAnsi="Arial" w:cs="Arial"/>
              </w:rPr>
            </w:pPr>
            <w:r>
              <w:rPr>
                <w:rFonts w:ascii="Arial" w:hAnsi="Arial" w:cs="Arial"/>
              </w:rPr>
              <w:t xml:space="preserve">Public Counsel, </w:t>
            </w:r>
            <w:r w:rsidR="00594EC1">
              <w:rPr>
                <w:rFonts w:ascii="Arial" w:hAnsi="Arial" w:cs="Arial"/>
              </w:rPr>
              <w:t xml:space="preserve">Alliance of Western Energy Consumers, The Energy Project, </w:t>
            </w:r>
            <w:r w:rsidR="00AA7492">
              <w:rPr>
                <w:rFonts w:ascii="Arial" w:hAnsi="Arial" w:cs="Arial"/>
              </w:rPr>
              <w:t>Washington PUC Staff</w:t>
            </w:r>
          </w:p>
        </w:tc>
      </w:tr>
      <w:tr w:rsidR="002A162A" w:rsidRPr="00B51D1F" w14:paraId="19976AA7" w14:textId="77777777" w:rsidTr="00956DEC">
        <w:trPr>
          <w:trHeight w:val="263"/>
        </w:trPr>
        <w:tc>
          <w:tcPr>
            <w:tcW w:w="8815" w:type="dxa"/>
            <w:gridSpan w:val="2"/>
            <w:shd w:val="clear" w:color="auto" w:fill="1F4E79" w:themeFill="accent1" w:themeFillShade="80"/>
          </w:tcPr>
          <w:p w14:paraId="6B1B83AD"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6ADEE869" w14:textId="77777777" w:rsidTr="00956DEC">
        <w:trPr>
          <w:trHeight w:val="263"/>
        </w:trPr>
        <w:tc>
          <w:tcPr>
            <w:tcW w:w="8815" w:type="dxa"/>
            <w:gridSpan w:val="2"/>
            <w:shd w:val="clear" w:color="auto" w:fill="FFFFFF" w:themeFill="background1"/>
          </w:tcPr>
          <w:p w14:paraId="6CAB238C" w14:textId="4C848552" w:rsidR="001B296E" w:rsidRDefault="00312EC9" w:rsidP="001B296E">
            <w:pPr>
              <w:tabs>
                <w:tab w:val="left" w:pos="240"/>
                <w:tab w:val="center" w:pos="4839"/>
              </w:tabs>
              <w:rPr>
                <w:rFonts w:ascii="Arial" w:hAnsi="Arial" w:cs="Arial"/>
              </w:rPr>
            </w:pPr>
            <w:r w:rsidRPr="00312EC9">
              <w:rPr>
                <w:rFonts w:ascii="Arial" w:hAnsi="Arial" w:cs="Arial"/>
              </w:rPr>
              <w:t xml:space="preserve">On </w:t>
            </w:r>
            <w:r w:rsidR="00A275A3">
              <w:rPr>
                <w:rFonts w:ascii="Arial" w:hAnsi="Arial" w:cs="Arial"/>
              </w:rPr>
              <w:t>March 29, 2019</w:t>
            </w:r>
            <w:r w:rsidRPr="00312EC9">
              <w:rPr>
                <w:rFonts w:ascii="Arial" w:hAnsi="Arial" w:cs="Arial"/>
              </w:rPr>
              <w:t>, Cascade Natural Gas filed a gas base rate increase request.</w:t>
            </w:r>
            <w:r w:rsidRPr="00312EC9">
              <w:rPr>
                <w:rFonts w:ascii="Arial" w:hAnsi="Arial" w:cs="Arial"/>
              </w:rPr>
              <w:br/>
            </w:r>
            <w:r w:rsidRPr="00312EC9">
              <w:rPr>
                <w:rFonts w:ascii="Arial" w:hAnsi="Arial" w:cs="Arial"/>
              </w:rPr>
              <w:br/>
              <w:t xml:space="preserve">On </w:t>
            </w:r>
            <w:r w:rsidR="00A275A3">
              <w:rPr>
                <w:rFonts w:ascii="Arial" w:hAnsi="Arial" w:cs="Arial"/>
              </w:rPr>
              <w:t xml:space="preserve">September 20, </w:t>
            </w:r>
            <w:r w:rsidRPr="00312EC9">
              <w:rPr>
                <w:rFonts w:ascii="Arial" w:hAnsi="Arial" w:cs="Arial"/>
              </w:rPr>
              <w:t>2019, Cascade Natural Gas and all parties to the docket entered into a joint settlement agreement, resolving all issues raised by the initial filing. The settlement specifies a $6.5 million base rate increase premised upon a 9.4</w:t>
            </w:r>
            <w:r w:rsidR="00752506">
              <w:rPr>
                <w:rFonts w:ascii="Arial" w:hAnsi="Arial" w:cs="Arial"/>
              </w:rPr>
              <w:t>0</w:t>
            </w:r>
            <w:r w:rsidRPr="00312EC9">
              <w:rPr>
                <w:rFonts w:ascii="Arial" w:hAnsi="Arial" w:cs="Arial"/>
              </w:rPr>
              <w:t xml:space="preserve">% ROE. The settlement is silent with regard to rate </w:t>
            </w:r>
            <w:proofErr w:type="gramStart"/>
            <w:r w:rsidRPr="00312EC9">
              <w:rPr>
                <w:rFonts w:ascii="Arial" w:hAnsi="Arial" w:cs="Arial"/>
              </w:rPr>
              <w:t>base, and</w:t>
            </w:r>
            <w:proofErr w:type="gramEnd"/>
            <w:r w:rsidRPr="00312EC9">
              <w:rPr>
                <w:rFonts w:ascii="Arial" w:hAnsi="Arial" w:cs="Arial"/>
              </w:rPr>
              <w:t xml:space="preserve"> does not deem any plant investment to have been included or excluded from the agreed-upon revenue requirement.</w:t>
            </w:r>
            <w:r w:rsidRPr="00312EC9">
              <w:rPr>
                <w:rFonts w:ascii="Arial" w:hAnsi="Arial" w:cs="Arial"/>
              </w:rPr>
              <w:br/>
            </w:r>
            <w:r w:rsidRPr="00312EC9">
              <w:rPr>
                <w:rFonts w:ascii="Arial" w:hAnsi="Arial" w:cs="Arial"/>
              </w:rPr>
              <w:br/>
              <w:t xml:space="preserve">On </w:t>
            </w:r>
            <w:r w:rsidR="00A275A3">
              <w:rPr>
                <w:rFonts w:ascii="Arial" w:hAnsi="Arial" w:cs="Arial"/>
              </w:rPr>
              <w:t>February 3, 2020</w:t>
            </w:r>
            <w:r w:rsidRPr="00312EC9">
              <w:rPr>
                <w:rFonts w:ascii="Arial" w:hAnsi="Arial" w:cs="Arial"/>
              </w:rPr>
              <w:t xml:space="preserve">, the WUTC approved the settlement in full without conditions, with new rates effective </w:t>
            </w:r>
            <w:r w:rsidR="008A6DDE">
              <w:rPr>
                <w:rFonts w:ascii="Arial" w:hAnsi="Arial" w:cs="Arial"/>
              </w:rPr>
              <w:t xml:space="preserve">March 1, </w:t>
            </w:r>
            <w:r w:rsidRPr="00312EC9">
              <w:rPr>
                <w:rFonts w:ascii="Arial" w:hAnsi="Arial" w:cs="Arial"/>
              </w:rPr>
              <w:t>2020.</w:t>
            </w:r>
          </w:p>
          <w:p w14:paraId="12FB7707" w14:textId="54121205" w:rsidR="00956DEC" w:rsidRDefault="00956DEC" w:rsidP="001B296E">
            <w:pPr>
              <w:tabs>
                <w:tab w:val="left" w:pos="240"/>
                <w:tab w:val="center" w:pos="4839"/>
              </w:tabs>
              <w:rPr>
                <w:rFonts w:ascii="Arial" w:hAnsi="Arial" w:cs="Arial"/>
              </w:rPr>
            </w:pPr>
          </w:p>
          <w:p w14:paraId="544A38C9" w14:textId="3E71513C" w:rsidR="00956DEC" w:rsidRDefault="00956DEC" w:rsidP="001B296E">
            <w:pPr>
              <w:tabs>
                <w:tab w:val="left" w:pos="240"/>
                <w:tab w:val="center" w:pos="4839"/>
              </w:tabs>
              <w:rPr>
                <w:rFonts w:ascii="Arial" w:hAnsi="Arial" w:cs="Arial"/>
              </w:rPr>
            </w:pPr>
          </w:p>
          <w:p w14:paraId="1C4638F3" w14:textId="4D038710" w:rsidR="00956DEC" w:rsidRDefault="00956DEC" w:rsidP="001B296E">
            <w:pPr>
              <w:tabs>
                <w:tab w:val="left" w:pos="240"/>
                <w:tab w:val="center" w:pos="4839"/>
              </w:tabs>
              <w:rPr>
                <w:rFonts w:ascii="Arial" w:hAnsi="Arial" w:cs="Arial"/>
              </w:rPr>
            </w:pPr>
          </w:p>
          <w:p w14:paraId="1B6140EA" w14:textId="7D040B26" w:rsidR="00956DEC" w:rsidRDefault="00956DEC" w:rsidP="001B296E">
            <w:pPr>
              <w:tabs>
                <w:tab w:val="left" w:pos="240"/>
                <w:tab w:val="center" w:pos="4839"/>
              </w:tabs>
              <w:rPr>
                <w:rFonts w:ascii="Arial" w:hAnsi="Arial" w:cs="Arial"/>
              </w:rPr>
            </w:pPr>
          </w:p>
          <w:p w14:paraId="1F2CAF36" w14:textId="104A6E95" w:rsidR="00956DEC" w:rsidRDefault="00956DEC" w:rsidP="001B296E">
            <w:pPr>
              <w:tabs>
                <w:tab w:val="left" w:pos="240"/>
                <w:tab w:val="center" w:pos="4839"/>
              </w:tabs>
              <w:rPr>
                <w:rFonts w:ascii="Arial" w:hAnsi="Arial" w:cs="Arial"/>
              </w:rPr>
            </w:pPr>
          </w:p>
          <w:p w14:paraId="1280F3F1" w14:textId="781B25A9" w:rsidR="00956DEC" w:rsidRDefault="00956DEC" w:rsidP="001B296E">
            <w:pPr>
              <w:tabs>
                <w:tab w:val="left" w:pos="240"/>
                <w:tab w:val="center" w:pos="4839"/>
              </w:tabs>
              <w:rPr>
                <w:rFonts w:ascii="Arial" w:hAnsi="Arial" w:cs="Arial"/>
              </w:rPr>
            </w:pPr>
          </w:p>
          <w:p w14:paraId="4480BEAD" w14:textId="1A1FDD79" w:rsidR="00956DEC" w:rsidRDefault="00956DEC" w:rsidP="001B296E">
            <w:pPr>
              <w:tabs>
                <w:tab w:val="left" w:pos="240"/>
                <w:tab w:val="center" w:pos="4839"/>
              </w:tabs>
              <w:rPr>
                <w:rFonts w:ascii="Arial" w:hAnsi="Arial" w:cs="Arial"/>
              </w:rPr>
            </w:pPr>
          </w:p>
          <w:p w14:paraId="538030A4" w14:textId="77D6DA91" w:rsidR="00956DEC" w:rsidRDefault="00956DEC" w:rsidP="001B296E">
            <w:pPr>
              <w:tabs>
                <w:tab w:val="left" w:pos="240"/>
                <w:tab w:val="center" w:pos="4839"/>
              </w:tabs>
              <w:rPr>
                <w:rFonts w:ascii="Arial" w:hAnsi="Arial" w:cs="Arial"/>
              </w:rPr>
            </w:pPr>
          </w:p>
          <w:p w14:paraId="088BE876" w14:textId="7A61AD09" w:rsidR="00956DEC" w:rsidRDefault="00956DEC" w:rsidP="001B296E">
            <w:pPr>
              <w:tabs>
                <w:tab w:val="left" w:pos="240"/>
                <w:tab w:val="center" w:pos="4839"/>
              </w:tabs>
              <w:rPr>
                <w:rFonts w:ascii="Arial" w:hAnsi="Arial" w:cs="Arial"/>
              </w:rPr>
            </w:pPr>
          </w:p>
          <w:p w14:paraId="10383EFD" w14:textId="77777777" w:rsidR="00956DEC" w:rsidRDefault="00956DEC" w:rsidP="001B296E">
            <w:pPr>
              <w:tabs>
                <w:tab w:val="left" w:pos="240"/>
                <w:tab w:val="center" w:pos="4839"/>
              </w:tabs>
              <w:rPr>
                <w:rFonts w:ascii="Arial" w:hAnsi="Arial" w:cs="Arial"/>
              </w:rPr>
            </w:pPr>
          </w:p>
          <w:p w14:paraId="66441EC0" w14:textId="77777777" w:rsidR="00312EC9" w:rsidRDefault="00312EC9" w:rsidP="001B296E">
            <w:pPr>
              <w:tabs>
                <w:tab w:val="left" w:pos="240"/>
                <w:tab w:val="center" w:pos="4839"/>
              </w:tabs>
              <w:rPr>
                <w:rFonts w:ascii="Arial" w:hAnsi="Arial" w:cs="Arial"/>
              </w:rPr>
            </w:pPr>
          </w:p>
          <w:p w14:paraId="2396C8D1" w14:textId="77777777" w:rsidR="00711497" w:rsidRDefault="00711497" w:rsidP="001B296E">
            <w:pPr>
              <w:tabs>
                <w:tab w:val="left" w:pos="240"/>
                <w:tab w:val="center" w:pos="4839"/>
              </w:tabs>
              <w:rPr>
                <w:rFonts w:ascii="Arial" w:hAnsi="Arial" w:cs="Arial"/>
              </w:rPr>
            </w:pPr>
          </w:p>
          <w:p w14:paraId="7F250B9A" w14:textId="77777777" w:rsidR="00711497" w:rsidRDefault="00711497" w:rsidP="001B296E">
            <w:pPr>
              <w:tabs>
                <w:tab w:val="left" w:pos="240"/>
                <w:tab w:val="center" w:pos="4839"/>
              </w:tabs>
              <w:rPr>
                <w:rFonts w:ascii="Arial" w:hAnsi="Arial" w:cs="Arial"/>
              </w:rPr>
            </w:pPr>
          </w:p>
          <w:p w14:paraId="341B2D66" w14:textId="77777777" w:rsidR="00711497" w:rsidRDefault="00711497" w:rsidP="001B296E">
            <w:pPr>
              <w:tabs>
                <w:tab w:val="left" w:pos="240"/>
                <w:tab w:val="center" w:pos="4839"/>
              </w:tabs>
              <w:rPr>
                <w:rFonts w:ascii="Arial" w:hAnsi="Arial" w:cs="Arial"/>
              </w:rPr>
            </w:pPr>
          </w:p>
          <w:p w14:paraId="2B53D0C6" w14:textId="77777777" w:rsidR="00711497" w:rsidRDefault="00711497" w:rsidP="001B296E">
            <w:pPr>
              <w:tabs>
                <w:tab w:val="left" w:pos="240"/>
                <w:tab w:val="center" w:pos="4839"/>
              </w:tabs>
              <w:rPr>
                <w:rFonts w:ascii="Arial" w:hAnsi="Arial" w:cs="Arial"/>
              </w:rPr>
            </w:pPr>
          </w:p>
          <w:p w14:paraId="5CC7AE9C" w14:textId="77777777" w:rsidR="00711497" w:rsidRDefault="00711497" w:rsidP="001B296E">
            <w:pPr>
              <w:tabs>
                <w:tab w:val="left" w:pos="240"/>
                <w:tab w:val="center" w:pos="4839"/>
              </w:tabs>
              <w:rPr>
                <w:rFonts w:ascii="Arial" w:hAnsi="Arial" w:cs="Arial"/>
              </w:rPr>
            </w:pPr>
          </w:p>
          <w:p w14:paraId="716D5D5E" w14:textId="77777777" w:rsidR="00711497" w:rsidRDefault="00711497" w:rsidP="001B296E">
            <w:pPr>
              <w:tabs>
                <w:tab w:val="left" w:pos="240"/>
                <w:tab w:val="center" w:pos="4839"/>
              </w:tabs>
              <w:rPr>
                <w:rFonts w:ascii="Arial" w:hAnsi="Arial" w:cs="Arial"/>
              </w:rPr>
            </w:pPr>
          </w:p>
          <w:p w14:paraId="25F37184" w14:textId="77777777" w:rsidR="00711497" w:rsidRDefault="00711497" w:rsidP="001B296E">
            <w:pPr>
              <w:tabs>
                <w:tab w:val="left" w:pos="240"/>
                <w:tab w:val="center" w:pos="4839"/>
              </w:tabs>
              <w:rPr>
                <w:rFonts w:ascii="Arial" w:hAnsi="Arial" w:cs="Arial"/>
              </w:rPr>
            </w:pPr>
          </w:p>
          <w:p w14:paraId="22659FF7" w14:textId="77777777" w:rsidR="00711497" w:rsidRDefault="00711497" w:rsidP="001B296E">
            <w:pPr>
              <w:tabs>
                <w:tab w:val="left" w:pos="240"/>
                <w:tab w:val="center" w:pos="4839"/>
              </w:tabs>
              <w:rPr>
                <w:rFonts w:ascii="Arial" w:hAnsi="Arial" w:cs="Arial"/>
              </w:rPr>
            </w:pPr>
          </w:p>
          <w:p w14:paraId="08D3D9E6" w14:textId="77777777" w:rsidR="00711497" w:rsidRDefault="00711497" w:rsidP="001B296E">
            <w:pPr>
              <w:tabs>
                <w:tab w:val="left" w:pos="240"/>
                <w:tab w:val="center" w:pos="4839"/>
              </w:tabs>
              <w:rPr>
                <w:rFonts w:ascii="Arial" w:hAnsi="Arial" w:cs="Arial"/>
              </w:rPr>
            </w:pPr>
          </w:p>
          <w:p w14:paraId="3B338104" w14:textId="77777777" w:rsidR="00711497" w:rsidRDefault="00711497" w:rsidP="001B296E">
            <w:pPr>
              <w:tabs>
                <w:tab w:val="left" w:pos="240"/>
                <w:tab w:val="center" w:pos="4839"/>
              </w:tabs>
              <w:rPr>
                <w:rFonts w:ascii="Arial" w:hAnsi="Arial" w:cs="Arial"/>
              </w:rPr>
            </w:pPr>
          </w:p>
          <w:p w14:paraId="2B8CA385" w14:textId="77777777" w:rsidR="00711497" w:rsidRDefault="00711497" w:rsidP="001B296E">
            <w:pPr>
              <w:tabs>
                <w:tab w:val="left" w:pos="240"/>
                <w:tab w:val="center" w:pos="4839"/>
              </w:tabs>
              <w:rPr>
                <w:rFonts w:ascii="Arial" w:hAnsi="Arial" w:cs="Arial"/>
              </w:rPr>
            </w:pPr>
          </w:p>
          <w:p w14:paraId="72EABBAE" w14:textId="77777777" w:rsidR="00711497" w:rsidRDefault="00711497" w:rsidP="001B296E">
            <w:pPr>
              <w:tabs>
                <w:tab w:val="left" w:pos="240"/>
                <w:tab w:val="center" w:pos="4839"/>
              </w:tabs>
              <w:rPr>
                <w:rFonts w:ascii="Arial" w:hAnsi="Arial" w:cs="Arial"/>
              </w:rPr>
            </w:pPr>
          </w:p>
          <w:p w14:paraId="4E4067EA" w14:textId="77777777" w:rsidR="00711497" w:rsidRDefault="00711497" w:rsidP="001B296E">
            <w:pPr>
              <w:tabs>
                <w:tab w:val="left" w:pos="240"/>
                <w:tab w:val="center" w:pos="4839"/>
              </w:tabs>
              <w:rPr>
                <w:rFonts w:ascii="Arial" w:hAnsi="Arial" w:cs="Arial"/>
              </w:rPr>
            </w:pPr>
          </w:p>
          <w:p w14:paraId="4130093B" w14:textId="322EF381" w:rsidR="00711497" w:rsidRPr="00B51D1F" w:rsidRDefault="00711497" w:rsidP="001B296E">
            <w:pPr>
              <w:tabs>
                <w:tab w:val="left" w:pos="240"/>
                <w:tab w:val="center" w:pos="4839"/>
              </w:tabs>
              <w:rPr>
                <w:rFonts w:ascii="Arial" w:hAnsi="Arial" w:cs="Arial"/>
              </w:rPr>
            </w:pPr>
          </w:p>
        </w:tc>
      </w:tr>
      <w:tr w:rsidR="002A162A" w:rsidRPr="000602A6" w14:paraId="497F8A5C" w14:textId="77777777" w:rsidTr="00956DEC">
        <w:trPr>
          <w:trHeight w:val="279"/>
        </w:trPr>
        <w:tc>
          <w:tcPr>
            <w:tcW w:w="8815" w:type="dxa"/>
            <w:gridSpan w:val="2"/>
            <w:shd w:val="clear" w:color="auto" w:fill="1F4E79" w:themeFill="accent1" w:themeFillShade="80"/>
          </w:tcPr>
          <w:p w14:paraId="0486FC09" w14:textId="14109B7F" w:rsidR="002A162A" w:rsidRPr="000602A6" w:rsidRDefault="003F77BB" w:rsidP="00975117">
            <w:pPr>
              <w:jc w:val="center"/>
              <w:rPr>
                <w:rFonts w:ascii="Arial" w:hAnsi="Arial" w:cs="Arial"/>
                <w:b/>
                <w:color w:val="FFFFFF" w:themeColor="background1"/>
              </w:rPr>
            </w:pPr>
            <w:r>
              <w:rPr>
                <w:rFonts w:ascii="Arial" w:hAnsi="Arial" w:cs="Arial"/>
                <w:b/>
                <w:color w:val="FFFFFF" w:themeColor="background1"/>
              </w:rPr>
              <w:lastRenderedPageBreak/>
              <w:t xml:space="preserve">February </w:t>
            </w:r>
            <w:r w:rsidR="006C7D67">
              <w:rPr>
                <w:rFonts w:ascii="Arial" w:hAnsi="Arial" w:cs="Arial"/>
                <w:b/>
                <w:color w:val="FFFFFF" w:themeColor="background1"/>
              </w:rPr>
              <w:t>24</w:t>
            </w:r>
            <w:r>
              <w:rPr>
                <w:rFonts w:ascii="Arial" w:hAnsi="Arial" w:cs="Arial"/>
                <w:b/>
                <w:color w:val="FFFFFF" w:themeColor="background1"/>
              </w:rPr>
              <w:t>, 2020</w:t>
            </w:r>
          </w:p>
        </w:tc>
      </w:tr>
      <w:tr w:rsidR="002A162A" w:rsidRPr="000602A6" w14:paraId="55314866" w14:textId="77777777" w:rsidTr="00956DEC">
        <w:trPr>
          <w:trHeight w:val="279"/>
        </w:trPr>
        <w:tc>
          <w:tcPr>
            <w:tcW w:w="2111" w:type="dxa"/>
            <w:shd w:val="clear" w:color="auto" w:fill="1F4E79" w:themeFill="accent1" w:themeFillShade="80"/>
          </w:tcPr>
          <w:p w14:paraId="3CEBC1E4"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6704" w:type="dxa"/>
          </w:tcPr>
          <w:p w14:paraId="3B7A12D5" w14:textId="11BCB4EB" w:rsidR="002A162A" w:rsidRPr="000602A6" w:rsidRDefault="006C7D67" w:rsidP="00975117">
            <w:pPr>
              <w:rPr>
                <w:rFonts w:ascii="Arial" w:hAnsi="Arial" w:cs="Arial"/>
              </w:rPr>
            </w:pPr>
            <w:r>
              <w:rPr>
                <w:rFonts w:ascii="Arial" w:hAnsi="Arial" w:cs="Arial"/>
              </w:rPr>
              <w:t>Atmos Energy Corp.</w:t>
            </w:r>
          </w:p>
        </w:tc>
      </w:tr>
      <w:tr w:rsidR="002A162A" w:rsidRPr="00B51D1F" w14:paraId="450F053E" w14:textId="77777777" w:rsidTr="00956DEC">
        <w:trPr>
          <w:trHeight w:val="279"/>
        </w:trPr>
        <w:tc>
          <w:tcPr>
            <w:tcW w:w="2111" w:type="dxa"/>
            <w:shd w:val="clear" w:color="auto" w:fill="1F4E79" w:themeFill="accent1" w:themeFillShade="80"/>
          </w:tcPr>
          <w:p w14:paraId="5EB354C8"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6704" w:type="dxa"/>
          </w:tcPr>
          <w:p w14:paraId="20C873CB" w14:textId="79941AA9" w:rsidR="002A162A" w:rsidRPr="00B51D1F" w:rsidRDefault="006C7D67" w:rsidP="00975117">
            <w:pPr>
              <w:rPr>
                <w:rFonts w:ascii="Arial" w:hAnsi="Arial" w:cs="Arial"/>
              </w:rPr>
            </w:pPr>
            <w:r>
              <w:rPr>
                <w:rFonts w:ascii="Arial" w:hAnsi="Arial" w:cs="Arial"/>
              </w:rPr>
              <w:t>Kansas</w:t>
            </w:r>
          </w:p>
        </w:tc>
      </w:tr>
      <w:tr w:rsidR="002A162A" w:rsidRPr="00B51D1F" w14:paraId="15B8F6BD" w14:textId="77777777" w:rsidTr="00956DEC">
        <w:trPr>
          <w:trHeight w:val="263"/>
        </w:trPr>
        <w:tc>
          <w:tcPr>
            <w:tcW w:w="2111" w:type="dxa"/>
            <w:shd w:val="clear" w:color="auto" w:fill="1F4E79" w:themeFill="accent1" w:themeFillShade="80"/>
          </w:tcPr>
          <w:p w14:paraId="6C48F4D6"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tcPr>
          <w:p w14:paraId="45E5A35D" w14:textId="4626FC1C" w:rsidR="002A162A" w:rsidRPr="001B296E" w:rsidRDefault="0009189A" w:rsidP="001B296E">
            <w:pPr>
              <w:spacing w:before="150"/>
              <w:rPr>
                <w:rFonts w:ascii="Arial" w:hAnsi="Arial" w:cs="Arial"/>
              </w:rPr>
            </w:pPr>
            <w:hyperlink r:id="rId19" w:history="1">
              <w:r w:rsidR="005806D6" w:rsidRPr="005806D6">
                <w:rPr>
                  <w:rStyle w:val="Hyperlink"/>
                  <w:rFonts w:ascii="Arial" w:hAnsi="Arial" w:cs="Arial"/>
                </w:rPr>
                <w:t>D-19-ATMG-525-RTS</w:t>
              </w:r>
            </w:hyperlink>
          </w:p>
        </w:tc>
      </w:tr>
      <w:tr w:rsidR="002A162A" w:rsidRPr="00416BC2" w14:paraId="1BCDE40A" w14:textId="77777777" w:rsidTr="00956DEC">
        <w:trPr>
          <w:trHeight w:val="279"/>
        </w:trPr>
        <w:tc>
          <w:tcPr>
            <w:tcW w:w="2111" w:type="dxa"/>
            <w:shd w:val="clear" w:color="auto" w:fill="1F4E79" w:themeFill="accent1" w:themeFillShade="80"/>
          </w:tcPr>
          <w:p w14:paraId="73DE5CDD"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tcPr>
          <w:p w14:paraId="349D90EF" w14:textId="0DC3ACD5" w:rsidR="002A162A" w:rsidRPr="00416BC2" w:rsidRDefault="001B296E" w:rsidP="00975117">
            <w:pPr>
              <w:rPr>
                <w:rFonts w:ascii="Arial" w:hAnsi="Arial" w:cs="Arial"/>
              </w:rPr>
            </w:pPr>
            <w:r>
              <w:rPr>
                <w:rFonts w:ascii="Arial" w:hAnsi="Arial" w:cs="Arial"/>
              </w:rPr>
              <w:t>$</w:t>
            </w:r>
            <w:r w:rsidR="00F268E8">
              <w:rPr>
                <w:rFonts w:ascii="Arial" w:hAnsi="Arial" w:cs="Arial"/>
              </w:rPr>
              <w:t>3,067,466</w:t>
            </w:r>
          </w:p>
        </w:tc>
      </w:tr>
      <w:tr w:rsidR="002A162A" w:rsidRPr="00B51D1F" w14:paraId="7B1F53AF" w14:textId="77777777" w:rsidTr="00956DEC">
        <w:trPr>
          <w:trHeight w:val="263"/>
        </w:trPr>
        <w:tc>
          <w:tcPr>
            <w:tcW w:w="2111" w:type="dxa"/>
            <w:shd w:val="clear" w:color="auto" w:fill="1F4E79" w:themeFill="accent1" w:themeFillShade="80"/>
          </w:tcPr>
          <w:p w14:paraId="44B2047C"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tcPr>
          <w:p w14:paraId="7C62F35E" w14:textId="1E11AAB6" w:rsidR="002A162A" w:rsidRPr="00B51D1F" w:rsidRDefault="00D51A45" w:rsidP="00975117">
            <w:pPr>
              <w:rPr>
                <w:rFonts w:ascii="Arial" w:hAnsi="Arial" w:cs="Arial"/>
              </w:rPr>
            </w:pPr>
            <w:r>
              <w:rPr>
                <w:rFonts w:ascii="Arial" w:hAnsi="Arial" w:cs="Arial"/>
              </w:rPr>
              <w:t>9.10%</w:t>
            </w:r>
          </w:p>
        </w:tc>
      </w:tr>
      <w:tr w:rsidR="002A162A" w:rsidRPr="00B51D1F" w14:paraId="1B01A7EE" w14:textId="77777777" w:rsidTr="00956DEC">
        <w:trPr>
          <w:trHeight w:val="263"/>
        </w:trPr>
        <w:tc>
          <w:tcPr>
            <w:tcW w:w="2111" w:type="dxa"/>
            <w:shd w:val="clear" w:color="auto" w:fill="1F4E79" w:themeFill="accent1" w:themeFillShade="80"/>
          </w:tcPr>
          <w:p w14:paraId="7BDA4832"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6704" w:type="dxa"/>
          </w:tcPr>
          <w:p w14:paraId="0010AE76" w14:textId="05A9F959" w:rsidR="002A162A" w:rsidRPr="00B51D1F" w:rsidRDefault="0039018C" w:rsidP="00975117">
            <w:pPr>
              <w:rPr>
                <w:rFonts w:ascii="Arial" w:hAnsi="Arial" w:cs="Arial"/>
              </w:rPr>
            </w:pPr>
            <w:r>
              <w:rPr>
                <w:rFonts w:ascii="Arial" w:hAnsi="Arial" w:cs="Arial"/>
              </w:rPr>
              <w:t>Citizens’ Utility Ratepayer Board</w:t>
            </w:r>
          </w:p>
        </w:tc>
      </w:tr>
      <w:tr w:rsidR="002A162A" w:rsidRPr="00B51D1F" w14:paraId="326C38DD" w14:textId="77777777" w:rsidTr="00956DEC">
        <w:trPr>
          <w:trHeight w:val="263"/>
        </w:trPr>
        <w:tc>
          <w:tcPr>
            <w:tcW w:w="8815" w:type="dxa"/>
            <w:gridSpan w:val="2"/>
            <w:shd w:val="clear" w:color="auto" w:fill="1F4E79" w:themeFill="accent1" w:themeFillShade="80"/>
          </w:tcPr>
          <w:p w14:paraId="29941EBE"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30B57608" w14:textId="77777777" w:rsidTr="00956DEC">
        <w:trPr>
          <w:trHeight w:val="263"/>
        </w:trPr>
        <w:tc>
          <w:tcPr>
            <w:tcW w:w="8815" w:type="dxa"/>
            <w:gridSpan w:val="2"/>
            <w:shd w:val="clear" w:color="auto" w:fill="FFFFFF" w:themeFill="background1"/>
          </w:tcPr>
          <w:p w14:paraId="17B285FF" w14:textId="0AF02FA7" w:rsidR="001B296E" w:rsidRPr="001B296E" w:rsidRDefault="007D6C55" w:rsidP="001B296E">
            <w:pPr>
              <w:tabs>
                <w:tab w:val="left" w:pos="240"/>
                <w:tab w:val="center" w:pos="4839"/>
              </w:tabs>
              <w:rPr>
                <w:rFonts w:ascii="Arial" w:hAnsi="Arial" w:cs="Arial"/>
              </w:rPr>
            </w:pPr>
            <w:r w:rsidRPr="007D6C55">
              <w:rPr>
                <w:rFonts w:ascii="Arial" w:hAnsi="Arial" w:cs="Arial"/>
              </w:rPr>
              <w:t>The net impact of the initially proposed base rate increase would have been roughly $7.2 million after factoring in implementation of a $0.8 million requested rate case expense surcharge and the transfer to base rates of $3.3 million that was being collected through the gas system reliability surcharge, or GSRS, rider.</w:t>
            </w:r>
            <w:r w:rsidRPr="007D6C55">
              <w:rPr>
                <w:rFonts w:ascii="Arial" w:hAnsi="Arial" w:cs="Arial"/>
              </w:rPr>
              <w:br/>
            </w:r>
            <w:r w:rsidRPr="007D6C55">
              <w:rPr>
                <w:rFonts w:ascii="Arial" w:hAnsi="Arial" w:cs="Arial"/>
              </w:rPr>
              <w:br/>
              <w:t>As authorized, after factoring in the transfer to base rates of $3.3 million that was being collected through the GSRS rider, the net impact of the authorized rate adjustment is a $0.2 million rate reduction.</w:t>
            </w:r>
          </w:p>
          <w:p w14:paraId="7006BF51" w14:textId="77777777" w:rsidR="00717086" w:rsidRDefault="00717086" w:rsidP="007D6C55">
            <w:pPr>
              <w:tabs>
                <w:tab w:val="left" w:pos="240"/>
                <w:tab w:val="center" w:pos="4839"/>
              </w:tabs>
              <w:rPr>
                <w:rFonts w:ascii="Arial" w:hAnsi="Arial" w:cs="Arial"/>
              </w:rPr>
            </w:pPr>
          </w:p>
          <w:p w14:paraId="1F3506C2" w14:textId="77777777" w:rsidR="00711497" w:rsidRDefault="00711497" w:rsidP="007D6C55">
            <w:pPr>
              <w:tabs>
                <w:tab w:val="left" w:pos="240"/>
                <w:tab w:val="center" w:pos="4839"/>
              </w:tabs>
              <w:rPr>
                <w:rFonts w:ascii="Arial" w:hAnsi="Arial" w:cs="Arial"/>
              </w:rPr>
            </w:pPr>
          </w:p>
          <w:p w14:paraId="4F5AAA67" w14:textId="77777777" w:rsidR="00711497" w:rsidRDefault="00711497" w:rsidP="007D6C55">
            <w:pPr>
              <w:tabs>
                <w:tab w:val="left" w:pos="240"/>
                <w:tab w:val="center" w:pos="4839"/>
              </w:tabs>
              <w:rPr>
                <w:rFonts w:ascii="Arial" w:hAnsi="Arial" w:cs="Arial"/>
              </w:rPr>
            </w:pPr>
          </w:p>
          <w:p w14:paraId="3CB37FD4" w14:textId="77777777" w:rsidR="00711497" w:rsidRDefault="00711497" w:rsidP="007D6C55">
            <w:pPr>
              <w:tabs>
                <w:tab w:val="left" w:pos="240"/>
                <w:tab w:val="center" w:pos="4839"/>
              </w:tabs>
              <w:rPr>
                <w:rFonts w:ascii="Arial" w:hAnsi="Arial" w:cs="Arial"/>
              </w:rPr>
            </w:pPr>
          </w:p>
          <w:p w14:paraId="06C5748A" w14:textId="77777777" w:rsidR="00711497" w:rsidRDefault="00711497" w:rsidP="007D6C55">
            <w:pPr>
              <w:tabs>
                <w:tab w:val="left" w:pos="240"/>
                <w:tab w:val="center" w:pos="4839"/>
              </w:tabs>
              <w:rPr>
                <w:rFonts w:ascii="Arial" w:hAnsi="Arial" w:cs="Arial"/>
              </w:rPr>
            </w:pPr>
          </w:p>
          <w:p w14:paraId="0D7EED0C" w14:textId="77777777" w:rsidR="00711497" w:rsidRDefault="00711497" w:rsidP="007D6C55">
            <w:pPr>
              <w:tabs>
                <w:tab w:val="left" w:pos="240"/>
                <w:tab w:val="center" w:pos="4839"/>
              </w:tabs>
              <w:rPr>
                <w:rFonts w:ascii="Arial" w:hAnsi="Arial" w:cs="Arial"/>
              </w:rPr>
            </w:pPr>
          </w:p>
          <w:p w14:paraId="372E3871" w14:textId="77777777" w:rsidR="00711497" w:rsidRDefault="00711497" w:rsidP="007D6C55">
            <w:pPr>
              <w:tabs>
                <w:tab w:val="left" w:pos="240"/>
                <w:tab w:val="center" w:pos="4839"/>
              </w:tabs>
              <w:rPr>
                <w:rFonts w:ascii="Arial" w:hAnsi="Arial" w:cs="Arial"/>
              </w:rPr>
            </w:pPr>
          </w:p>
          <w:p w14:paraId="188C9C72" w14:textId="77777777" w:rsidR="00711497" w:rsidRDefault="00711497" w:rsidP="007D6C55">
            <w:pPr>
              <w:tabs>
                <w:tab w:val="left" w:pos="240"/>
                <w:tab w:val="center" w:pos="4839"/>
              </w:tabs>
              <w:rPr>
                <w:rFonts w:ascii="Arial" w:hAnsi="Arial" w:cs="Arial"/>
              </w:rPr>
            </w:pPr>
          </w:p>
          <w:p w14:paraId="5D42B4F9" w14:textId="77777777" w:rsidR="00711497" w:rsidRDefault="00711497" w:rsidP="007D6C55">
            <w:pPr>
              <w:tabs>
                <w:tab w:val="left" w:pos="240"/>
                <w:tab w:val="center" w:pos="4839"/>
              </w:tabs>
              <w:rPr>
                <w:rFonts w:ascii="Arial" w:hAnsi="Arial" w:cs="Arial"/>
              </w:rPr>
            </w:pPr>
          </w:p>
          <w:p w14:paraId="333846A0" w14:textId="77777777" w:rsidR="00711497" w:rsidRDefault="00711497" w:rsidP="007D6C55">
            <w:pPr>
              <w:tabs>
                <w:tab w:val="left" w:pos="240"/>
                <w:tab w:val="center" w:pos="4839"/>
              </w:tabs>
              <w:rPr>
                <w:rFonts w:ascii="Arial" w:hAnsi="Arial" w:cs="Arial"/>
              </w:rPr>
            </w:pPr>
          </w:p>
          <w:p w14:paraId="6C73AA62" w14:textId="77777777" w:rsidR="00711497" w:rsidRDefault="00711497" w:rsidP="007D6C55">
            <w:pPr>
              <w:tabs>
                <w:tab w:val="left" w:pos="240"/>
                <w:tab w:val="center" w:pos="4839"/>
              </w:tabs>
              <w:rPr>
                <w:rFonts w:ascii="Arial" w:hAnsi="Arial" w:cs="Arial"/>
              </w:rPr>
            </w:pPr>
          </w:p>
          <w:p w14:paraId="6DA9EA11" w14:textId="77777777" w:rsidR="00711497" w:rsidRDefault="00711497" w:rsidP="007D6C55">
            <w:pPr>
              <w:tabs>
                <w:tab w:val="left" w:pos="240"/>
                <w:tab w:val="center" w:pos="4839"/>
              </w:tabs>
              <w:rPr>
                <w:rFonts w:ascii="Arial" w:hAnsi="Arial" w:cs="Arial"/>
              </w:rPr>
            </w:pPr>
          </w:p>
          <w:p w14:paraId="616908E9" w14:textId="77777777" w:rsidR="00711497" w:rsidRDefault="00711497" w:rsidP="007D6C55">
            <w:pPr>
              <w:tabs>
                <w:tab w:val="left" w:pos="240"/>
                <w:tab w:val="center" w:pos="4839"/>
              </w:tabs>
              <w:rPr>
                <w:rFonts w:ascii="Arial" w:hAnsi="Arial" w:cs="Arial"/>
              </w:rPr>
            </w:pPr>
          </w:p>
          <w:p w14:paraId="144C5C0E" w14:textId="77777777" w:rsidR="00711497" w:rsidRDefault="00711497" w:rsidP="007D6C55">
            <w:pPr>
              <w:tabs>
                <w:tab w:val="left" w:pos="240"/>
                <w:tab w:val="center" w:pos="4839"/>
              </w:tabs>
              <w:rPr>
                <w:rFonts w:ascii="Arial" w:hAnsi="Arial" w:cs="Arial"/>
              </w:rPr>
            </w:pPr>
          </w:p>
          <w:p w14:paraId="14EA26A7" w14:textId="77777777" w:rsidR="00711497" w:rsidRDefault="00711497" w:rsidP="007D6C55">
            <w:pPr>
              <w:tabs>
                <w:tab w:val="left" w:pos="240"/>
                <w:tab w:val="center" w:pos="4839"/>
              </w:tabs>
              <w:rPr>
                <w:rFonts w:ascii="Arial" w:hAnsi="Arial" w:cs="Arial"/>
              </w:rPr>
            </w:pPr>
          </w:p>
          <w:p w14:paraId="3659D8D4" w14:textId="77777777" w:rsidR="00711497" w:rsidRDefault="00711497" w:rsidP="007D6C55">
            <w:pPr>
              <w:tabs>
                <w:tab w:val="left" w:pos="240"/>
                <w:tab w:val="center" w:pos="4839"/>
              </w:tabs>
              <w:rPr>
                <w:rFonts w:ascii="Arial" w:hAnsi="Arial" w:cs="Arial"/>
              </w:rPr>
            </w:pPr>
          </w:p>
          <w:p w14:paraId="419D6F75" w14:textId="77777777" w:rsidR="00711497" w:rsidRDefault="00711497" w:rsidP="007D6C55">
            <w:pPr>
              <w:tabs>
                <w:tab w:val="left" w:pos="240"/>
                <w:tab w:val="center" w:pos="4839"/>
              </w:tabs>
              <w:rPr>
                <w:rFonts w:ascii="Arial" w:hAnsi="Arial" w:cs="Arial"/>
              </w:rPr>
            </w:pPr>
          </w:p>
          <w:p w14:paraId="071F4F94" w14:textId="77777777" w:rsidR="00711497" w:rsidRDefault="00711497" w:rsidP="007D6C55">
            <w:pPr>
              <w:tabs>
                <w:tab w:val="left" w:pos="240"/>
                <w:tab w:val="center" w:pos="4839"/>
              </w:tabs>
              <w:rPr>
                <w:rFonts w:ascii="Arial" w:hAnsi="Arial" w:cs="Arial"/>
              </w:rPr>
            </w:pPr>
          </w:p>
          <w:p w14:paraId="4883320B" w14:textId="77777777" w:rsidR="00711497" w:rsidRDefault="00711497" w:rsidP="007D6C55">
            <w:pPr>
              <w:tabs>
                <w:tab w:val="left" w:pos="240"/>
                <w:tab w:val="center" w:pos="4839"/>
              </w:tabs>
              <w:rPr>
                <w:rFonts w:ascii="Arial" w:hAnsi="Arial" w:cs="Arial"/>
              </w:rPr>
            </w:pPr>
          </w:p>
          <w:p w14:paraId="2E2354D5" w14:textId="77777777" w:rsidR="00711497" w:rsidRDefault="00711497" w:rsidP="007D6C55">
            <w:pPr>
              <w:tabs>
                <w:tab w:val="left" w:pos="240"/>
                <w:tab w:val="center" w:pos="4839"/>
              </w:tabs>
              <w:rPr>
                <w:rFonts w:ascii="Arial" w:hAnsi="Arial" w:cs="Arial"/>
              </w:rPr>
            </w:pPr>
          </w:p>
          <w:p w14:paraId="1658690F" w14:textId="77777777" w:rsidR="00711497" w:rsidRDefault="00711497" w:rsidP="007D6C55">
            <w:pPr>
              <w:tabs>
                <w:tab w:val="left" w:pos="240"/>
                <w:tab w:val="center" w:pos="4839"/>
              </w:tabs>
              <w:rPr>
                <w:rFonts w:ascii="Arial" w:hAnsi="Arial" w:cs="Arial"/>
              </w:rPr>
            </w:pPr>
          </w:p>
          <w:p w14:paraId="50CCE182" w14:textId="77777777" w:rsidR="00711497" w:rsidRDefault="00711497" w:rsidP="007D6C55">
            <w:pPr>
              <w:tabs>
                <w:tab w:val="left" w:pos="240"/>
                <w:tab w:val="center" w:pos="4839"/>
              </w:tabs>
              <w:rPr>
                <w:rFonts w:ascii="Arial" w:hAnsi="Arial" w:cs="Arial"/>
              </w:rPr>
            </w:pPr>
          </w:p>
          <w:p w14:paraId="5631D328" w14:textId="77777777" w:rsidR="00711497" w:rsidRDefault="00711497" w:rsidP="007D6C55">
            <w:pPr>
              <w:tabs>
                <w:tab w:val="left" w:pos="240"/>
                <w:tab w:val="center" w:pos="4839"/>
              </w:tabs>
              <w:rPr>
                <w:rFonts w:ascii="Arial" w:hAnsi="Arial" w:cs="Arial"/>
              </w:rPr>
            </w:pPr>
          </w:p>
          <w:p w14:paraId="1EC3FE61" w14:textId="77777777" w:rsidR="00711497" w:rsidRDefault="00711497" w:rsidP="007D6C55">
            <w:pPr>
              <w:tabs>
                <w:tab w:val="left" w:pos="240"/>
                <w:tab w:val="center" w:pos="4839"/>
              </w:tabs>
              <w:rPr>
                <w:rFonts w:ascii="Arial" w:hAnsi="Arial" w:cs="Arial"/>
              </w:rPr>
            </w:pPr>
          </w:p>
          <w:p w14:paraId="5B0CFBC6" w14:textId="77777777" w:rsidR="00711497" w:rsidRDefault="00711497" w:rsidP="007D6C55">
            <w:pPr>
              <w:tabs>
                <w:tab w:val="left" w:pos="240"/>
                <w:tab w:val="center" w:pos="4839"/>
              </w:tabs>
              <w:rPr>
                <w:rFonts w:ascii="Arial" w:hAnsi="Arial" w:cs="Arial"/>
              </w:rPr>
            </w:pPr>
          </w:p>
          <w:p w14:paraId="20D4FB80" w14:textId="77777777" w:rsidR="00711497" w:rsidRDefault="00711497" w:rsidP="007D6C55">
            <w:pPr>
              <w:tabs>
                <w:tab w:val="left" w:pos="240"/>
                <w:tab w:val="center" w:pos="4839"/>
              </w:tabs>
              <w:rPr>
                <w:rFonts w:ascii="Arial" w:hAnsi="Arial" w:cs="Arial"/>
              </w:rPr>
            </w:pPr>
          </w:p>
          <w:p w14:paraId="36CB4F7E" w14:textId="1C23B49F" w:rsidR="00711497" w:rsidRPr="00B51D1F" w:rsidRDefault="00711497" w:rsidP="007D6C55">
            <w:pPr>
              <w:tabs>
                <w:tab w:val="left" w:pos="240"/>
                <w:tab w:val="center" w:pos="4839"/>
              </w:tabs>
              <w:rPr>
                <w:rFonts w:ascii="Arial" w:hAnsi="Arial" w:cs="Arial"/>
              </w:rPr>
            </w:pPr>
          </w:p>
        </w:tc>
      </w:tr>
      <w:tr w:rsidR="002A162A" w:rsidRPr="000602A6" w14:paraId="44504252" w14:textId="77777777" w:rsidTr="00956DEC">
        <w:trPr>
          <w:trHeight w:val="279"/>
        </w:trPr>
        <w:tc>
          <w:tcPr>
            <w:tcW w:w="8815" w:type="dxa"/>
            <w:gridSpan w:val="2"/>
            <w:shd w:val="clear" w:color="auto" w:fill="1F4E79" w:themeFill="accent1" w:themeFillShade="80"/>
          </w:tcPr>
          <w:p w14:paraId="3C7DE1E7" w14:textId="4A6C18A9" w:rsidR="002A162A" w:rsidRPr="000602A6" w:rsidRDefault="00764D81" w:rsidP="00975117">
            <w:pPr>
              <w:jc w:val="center"/>
              <w:rPr>
                <w:rFonts w:ascii="Arial" w:hAnsi="Arial" w:cs="Arial"/>
                <w:b/>
                <w:color w:val="FFFFFF" w:themeColor="background1"/>
              </w:rPr>
            </w:pPr>
            <w:r>
              <w:rPr>
                <w:rFonts w:ascii="Arial" w:hAnsi="Arial" w:cs="Arial"/>
                <w:b/>
                <w:color w:val="FFFFFF" w:themeColor="background1"/>
              </w:rPr>
              <w:lastRenderedPageBreak/>
              <w:t>February 25, 2020</w:t>
            </w:r>
          </w:p>
        </w:tc>
      </w:tr>
      <w:tr w:rsidR="002A162A" w:rsidRPr="000602A6" w14:paraId="3DD08817" w14:textId="77777777" w:rsidTr="00956DEC">
        <w:trPr>
          <w:trHeight w:val="279"/>
        </w:trPr>
        <w:tc>
          <w:tcPr>
            <w:tcW w:w="2111" w:type="dxa"/>
            <w:shd w:val="clear" w:color="auto" w:fill="1F4E79" w:themeFill="accent1" w:themeFillShade="80"/>
          </w:tcPr>
          <w:p w14:paraId="560D10BD"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6704" w:type="dxa"/>
          </w:tcPr>
          <w:p w14:paraId="4E481167" w14:textId="77A279CA" w:rsidR="002A162A" w:rsidRPr="000602A6" w:rsidRDefault="00F417C3" w:rsidP="00975117">
            <w:pPr>
              <w:rPr>
                <w:rFonts w:ascii="Arial" w:hAnsi="Arial" w:cs="Arial"/>
              </w:rPr>
            </w:pPr>
            <w:r>
              <w:rPr>
                <w:rFonts w:ascii="Arial" w:hAnsi="Arial" w:cs="Arial"/>
              </w:rPr>
              <w:t>Questar</w:t>
            </w:r>
            <w:r w:rsidR="00B82AEC">
              <w:rPr>
                <w:rFonts w:ascii="Arial" w:hAnsi="Arial" w:cs="Arial"/>
              </w:rPr>
              <w:t xml:space="preserve"> Gas Co.</w:t>
            </w:r>
          </w:p>
        </w:tc>
      </w:tr>
      <w:tr w:rsidR="002A162A" w:rsidRPr="00B51D1F" w14:paraId="08FBAB27" w14:textId="77777777" w:rsidTr="00956DEC">
        <w:trPr>
          <w:trHeight w:val="279"/>
        </w:trPr>
        <w:tc>
          <w:tcPr>
            <w:tcW w:w="2111" w:type="dxa"/>
            <w:shd w:val="clear" w:color="auto" w:fill="1F4E79" w:themeFill="accent1" w:themeFillShade="80"/>
          </w:tcPr>
          <w:p w14:paraId="0401B4DF"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6704" w:type="dxa"/>
          </w:tcPr>
          <w:p w14:paraId="508492AC" w14:textId="124B16F8" w:rsidR="002A162A" w:rsidRPr="00B51D1F" w:rsidRDefault="00F417C3" w:rsidP="00975117">
            <w:pPr>
              <w:rPr>
                <w:rFonts w:ascii="Arial" w:hAnsi="Arial" w:cs="Arial"/>
              </w:rPr>
            </w:pPr>
            <w:r>
              <w:rPr>
                <w:rFonts w:ascii="Arial" w:hAnsi="Arial" w:cs="Arial"/>
              </w:rPr>
              <w:t>Utah</w:t>
            </w:r>
          </w:p>
        </w:tc>
      </w:tr>
      <w:tr w:rsidR="002A162A" w:rsidRPr="00B51D1F" w14:paraId="0AD8D975" w14:textId="77777777" w:rsidTr="00956DEC">
        <w:trPr>
          <w:trHeight w:val="263"/>
        </w:trPr>
        <w:tc>
          <w:tcPr>
            <w:tcW w:w="2111" w:type="dxa"/>
            <w:shd w:val="clear" w:color="auto" w:fill="1F4E79" w:themeFill="accent1" w:themeFillShade="80"/>
          </w:tcPr>
          <w:p w14:paraId="39E1A267"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tcPr>
          <w:p w14:paraId="20201BD7" w14:textId="4FEF0E8F" w:rsidR="002A162A" w:rsidRPr="00B51D1F" w:rsidRDefault="0009189A" w:rsidP="00975117">
            <w:pPr>
              <w:rPr>
                <w:rFonts w:ascii="Arial" w:hAnsi="Arial" w:cs="Arial"/>
                <w:color w:val="0000FF"/>
                <w:u w:val="single"/>
              </w:rPr>
            </w:pPr>
            <w:hyperlink r:id="rId20" w:history="1">
              <w:r w:rsidR="00F417C3" w:rsidRPr="0032169B">
                <w:rPr>
                  <w:rStyle w:val="Hyperlink"/>
                  <w:rFonts w:ascii="Arial" w:hAnsi="Arial" w:cs="Arial"/>
                </w:rPr>
                <w:t>D-19-057-02</w:t>
              </w:r>
              <w:r w:rsidR="004F15A0" w:rsidRPr="0032169B">
                <w:rPr>
                  <w:rStyle w:val="Hyperlink"/>
                  <w:rFonts w:ascii="Arial" w:hAnsi="Arial" w:cs="Arial"/>
                </w:rPr>
                <w:t>3</w:t>
              </w:r>
            </w:hyperlink>
          </w:p>
        </w:tc>
      </w:tr>
      <w:tr w:rsidR="002A162A" w:rsidRPr="00416BC2" w14:paraId="71CD5C0C" w14:textId="77777777" w:rsidTr="00956DEC">
        <w:trPr>
          <w:trHeight w:val="279"/>
        </w:trPr>
        <w:tc>
          <w:tcPr>
            <w:tcW w:w="2111" w:type="dxa"/>
            <w:shd w:val="clear" w:color="auto" w:fill="1F4E79" w:themeFill="accent1" w:themeFillShade="80"/>
          </w:tcPr>
          <w:p w14:paraId="3C1B0285"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tcPr>
          <w:p w14:paraId="733C77D0" w14:textId="58174270" w:rsidR="002A162A" w:rsidRPr="00416BC2" w:rsidRDefault="004F15A0" w:rsidP="00975117">
            <w:pPr>
              <w:rPr>
                <w:rFonts w:ascii="Arial" w:hAnsi="Arial" w:cs="Arial"/>
              </w:rPr>
            </w:pPr>
            <w:r>
              <w:rPr>
                <w:rFonts w:ascii="Arial" w:hAnsi="Arial" w:cs="Arial"/>
              </w:rPr>
              <w:t>$</w:t>
            </w:r>
            <w:r w:rsidR="00382653">
              <w:rPr>
                <w:rFonts w:ascii="Arial" w:hAnsi="Arial" w:cs="Arial"/>
              </w:rPr>
              <w:t>2,680,013</w:t>
            </w:r>
          </w:p>
        </w:tc>
      </w:tr>
      <w:tr w:rsidR="002A162A" w:rsidRPr="00B51D1F" w14:paraId="13677062" w14:textId="77777777" w:rsidTr="00956DEC">
        <w:trPr>
          <w:trHeight w:val="263"/>
        </w:trPr>
        <w:tc>
          <w:tcPr>
            <w:tcW w:w="2111" w:type="dxa"/>
            <w:shd w:val="clear" w:color="auto" w:fill="1F4E79" w:themeFill="accent1" w:themeFillShade="80"/>
          </w:tcPr>
          <w:p w14:paraId="6E51315E"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tcPr>
          <w:p w14:paraId="3BDFCA7A" w14:textId="5C30B010" w:rsidR="002A162A" w:rsidRPr="00B51D1F" w:rsidRDefault="004F15A0" w:rsidP="00975117">
            <w:pPr>
              <w:rPr>
                <w:rFonts w:ascii="Arial" w:hAnsi="Arial" w:cs="Arial"/>
              </w:rPr>
            </w:pPr>
            <w:r>
              <w:rPr>
                <w:rFonts w:ascii="Arial" w:hAnsi="Arial" w:cs="Arial"/>
              </w:rPr>
              <w:t>9.</w:t>
            </w:r>
            <w:r w:rsidR="00E42095">
              <w:rPr>
                <w:rFonts w:ascii="Arial" w:hAnsi="Arial" w:cs="Arial"/>
              </w:rPr>
              <w:t>50</w:t>
            </w:r>
            <w:r>
              <w:rPr>
                <w:rFonts w:ascii="Arial" w:hAnsi="Arial" w:cs="Arial"/>
              </w:rPr>
              <w:t>%</w:t>
            </w:r>
          </w:p>
        </w:tc>
      </w:tr>
      <w:tr w:rsidR="002A162A" w:rsidRPr="00B51D1F" w14:paraId="098B22E0" w14:textId="77777777" w:rsidTr="00956DEC">
        <w:trPr>
          <w:trHeight w:val="263"/>
        </w:trPr>
        <w:tc>
          <w:tcPr>
            <w:tcW w:w="2111" w:type="dxa"/>
            <w:shd w:val="clear" w:color="auto" w:fill="1F4E79" w:themeFill="accent1" w:themeFillShade="80"/>
          </w:tcPr>
          <w:p w14:paraId="024F0CB6"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6704" w:type="dxa"/>
          </w:tcPr>
          <w:p w14:paraId="2DA762EE" w14:textId="47410C1C" w:rsidR="002A162A" w:rsidRPr="00B51D1F" w:rsidRDefault="00F87CD7" w:rsidP="00B24014">
            <w:pPr>
              <w:rPr>
                <w:rFonts w:ascii="Arial" w:hAnsi="Arial" w:cs="Arial"/>
              </w:rPr>
            </w:pPr>
            <w:r>
              <w:rPr>
                <w:rFonts w:ascii="Arial" w:hAnsi="Arial" w:cs="Arial"/>
              </w:rPr>
              <w:t>Nucor Corp.,</w:t>
            </w:r>
            <w:r w:rsidR="00994BF6">
              <w:rPr>
                <w:rFonts w:ascii="Arial" w:hAnsi="Arial" w:cs="Arial"/>
              </w:rPr>
              <w:t xml:space="preserve"> US Air Force, </w:t>
            </w:r>
            <w:r w:rsidR="00CC11AA">
              <w:rPr>
                <w:rFonts w:ascii="Arial" w:hAnsi="Arial" w:cs="Arial"/>
              </w:rPr>
              <w:t>US Magnesium, LLC., American Natural Gas Council, Inc., Utah Association of Energy Users</w:t>
            </w:r>
          </w:p>
        </w:tc>
      </w:tr>
      <w:tr w:rsidR="002A162A" w:rsidRPr="00B51D1F" w14:paraId="701AE3F5" w14:textId="77777777" w:rsidTr="00956DEC">
        <w:trPr>
          <w:trHeight w:val="263"/>
        </w:trPr>
        <w:tc>
          <w:tcPr>
            <w:tcW w:w="8815" w:type="dxa"/>
            <w:gridSpan w:val="2"/>
            <w:shd w:val="clear" w:color="auto" w:fill="1F4E79" w:themeFill="accent1" w:themeFillShade="80"/>
          </w:tcPr>
          <w:p w14:paraId="39C5B0C2"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012424D4" w14:textId="77777777" w:rsidTr="00956DEC">
        <w:trPr>
          <w:trHeight w:val="263"/>
        </w:trPr>
        <w:tc>
          <w:tcPr>
            <w:tcW w:w="8815" w:type="dxa"/>
            <w:gridSpan w:val="2"/>
            <w:shd w:val="clear" w:color="auto" w:fill="FFFFFF" w:themeFill="background1"/>
          </w:tcPr>
          <w:p w14:paraId="1090113F" w14:textId="49DA3AEE" w:rsidR="00BB503D" w:rsidRDefault="00F44E6B" w:rsidP="004F15A0">
            <w:pPr>
              <w:tabs>
                <w:tab w:val="left" w:pos="240"/>
                <w:tab w:val="center" w:pos="4839"/>
              </w:tabs>
              <w:rPr>
                <w:rFonts w:ascii="Arial" w:eastAsia="Calibri" w:hAnsi="Arial" w:cs="Arial"/>
                <w:bCs/>
              </w:rPr>
            </w:pPr>
            <w:r w:rsidRPr="00F44E6B">
              <w:rPr>
                <w:rFonts w:ascii="Arial" w:eastAsia="Calibri" w:hAnsi="Arial" w:cs="Arial"/>
                <w:bCs/>
              </w:rPr>
              <w:t xml:space="preserve">On </w:t>
            </w:r>
            <w:r>
              <w:rPr>
                <w:rFonts w:ascii="Arial" w:eastAsia="Calibri" w:hAnsi="Arial" w:cs="Arial"/>
                <w:bCs/>
              </w:rPr>
              <w:t>October 17</w:t>
            </w:r>
            <w:r w:rsidR="00BB503D">
              <w:rPr>
                <w:rFonts w:ascii="Arial" w:eastAsia="Calibri" w:hAnsi="Arial" w:cs="Arial"/>
                <w:bCs/>
              </w:rPr>
              <w:t xml:space="preserve">, </w:t>
            </w:r>
            <w:r>
              <w:rPr>
                <w:rFonts w:ascii="Arial" w:eastAsia="Calibri" w:hAnsi="Arial" w:cs="Arial"/>
                <w:bCs/>
              </w:rPr>
              <w:t>2019</w:t>
            </w:r>
            <w:r w:rsidRPr="00F44E6B">
              <w:rPr>
                <w:rFonts w:ascii="Arial" w:eastAsia="Calibri" w:hAnsi="Arial" w:cs="Arial"/>
                <w:bCs/>
              </w:rPr>
              <w:t xml:space="preserve">, the Division of Public Utilities, or DPU, filed testimony recommending that the company be accorded a 9.25% return on equity (55% of capital) and a 7% overall return. The DPU did not present a formal revenue requirement </w:t>
            </w:r>
            <w:proofErr w:type="gramStart"/>
            <w:r w:rsidRPr="00F44E6B">
              <w:rPr>
                <w:rFonts w:ascii="Arial" w:eastAsia="Calibri" w:hAnsi="Arial" w:cs="Arial"/>
                <w:bCs/>
              </w:rPr>
              <w:t>recommendation,</w:t>
            </w:r>
            <w:r w:rsidR="00BB503D">
              <w:rPr>
                <w:rFonts w:ascii="Arial" w:eastAsia="Calibri" w:hAnsi="Arial" w:cs="Arial"/>
                <w:bCs/>
              </w:rPr>
              <w:t xml:space="preserve"> </w:t>
            </w:r>
            <w:r w:rsidRPr="00F44E6B">
              <w:rPr>
                <w:rFonts w:ascii="Arial" w:eastAsia="Calibri" w:hAnsi="Arial" w:cs="Arial"/>
                <w:bCs/>
              </w:rPr>
              <w:t>but</w:t>
            </w:r>
            <w:proofErr w:type="gramEnd"/>
            <w:r w:rsidRPr="00F44E6B">
              <w:rPr>
                <w:rFonts w:ascii="Arial" w:eastAsia="Calibri" w:hAnsi="Arial" w:cs="Arial"/>
                <w:bCs/>
              </w:rPr>
              <w:t xml:space="preserve"> identified $20.2 million of adjustments that roughly offset the rate increase sought by Questar Gas.</w:t>
            </w:r>
          </w:p>
          <w:p w14:paraId="2AB9F3C7" w14:textId="15753E3D" w:rsidR="00956DEC" w:rsidRDefault="00F44E6B" w:rsidP="004F15A0">
            <w:pPr>
              <w:tabs>
                <w:tab w:val="left" w:pos="240"/>
                <w:tab w:val="center" w:pos="4839"/>
              </w:tabs>
              <w:rPr>
                <w:rFonts w:ascii="Arial" w:eastAsia="Calibri" w:hAnsi="Arial" w:cs="Arial"/>
                <w:bCs/>
              </w:rPr>
            </w:pPr>
            <w:r w:rsidRPr="00F44E6B">
              <w:rPr>
                <w:rFonts w:ascii="Arial" w:eastAsia="Calibri" w:hAnsi="Arial" w:cs="Arial"/>
                <w:bCs/>
              </w:rPr>
              <w:br/>
              <w:t xml:space="preserve">The company supported a $17.1 million rate increase at </w:t>
            </w:r>
            <w:proofErr w:type="gramStart"/>
            <w:r w:rsidRPr="00F44E6B">
              <w:rPr>
                <w:rFonts w:ascii="Arial" w:eastAsia="Calibri" w:hAnsi="Arial" w:cs="Arial"/>
                <w:bCs/>
              </w:rPr>
              <w:t>hearing, but</w:t>
            </w:r>
            <w:proofErr w:type="gramEnd"/>
            <w:r w:rsidRPr="00F44E6B">
              <w:rPr>
                <w:rFonts w:ascii="Arial" w:eastAsia="Calibri" w:hAnsi="Arial" w:cs="Arial"/>
                <w:bCs/>
              </w:rPr>
              <w:t xml:space="preserve"> did not submit a formal filing detailing that position.</w:t>
            </w:r>
          </w:p>
          <w:p w14:paraId="4DE16DAC" w14:textId="5C392C36" w:rsidR="00956DEC" w:rsidRDefault="00956DEC" w:rsidP="004F15A0">
            <w:pPr>
              <w:tabs>
                <w:tab w:val="left" w:pos="240"/>
                <w:tab w:val="center" w:pos="4839"/>
              </w:tabs>
              <w:rPr>
                <w:rFonts w:ascii="Arial" w:eastAsia="Calibri" w:hAnsi="Arial" w:cs="Arial"/>
                <w:bCs/>
              </w:rPr>
            </w:pPr>
          </w:p>
          <w:p w14:paraId="1861ED75" w14:textId="7FDF732C" w:rsidR="00956DEC" w:rsidRDefault="00956DEC" w:rsidP="004F15A0">
            <w:pPr>
              <w:tabs>
                <w:tab w:val="left" w:pos="240"/>
                <w:tab w:val="center" w:pos="4839"/>
              </w:tabs>
              <w:rPr>
                <w:rFonts w:ascii="Arial" w:eastAsia="Calibri" w:hAnsi="Arial" w:cs="Arial"/>
                <w:bCs/>
              </w:rPr>
            </w:pPr>
          </w:p>
          <w:p w14:paraId="3A525EBD" w14:textId="050946F7" w:rsidR="00956DEC" w:rsidRDefault="00956DEC" w:rsidP="004F15A0">
            <w:pPr>
              <w:tabs>
                <w:tab w:val="left" w:pos="240"/>
                <w:tab w:val="center" w:pos="4839"/>
              </w:tabs>
              <w:rPr>
                <w:rFonts w:ascii="Arial" w:eastAsia="Calibri" w:hAnsi="Arial" w:cs="Arial"/>
                <w:bCs/>
              </w:rPr>
            </w:pPr>
          </w:p>
          <w:p w14:paraId="4FF41E16" w14:textId="63332036" w:rsidR="00956DEC" w:rsidRDefault="00956DEC" w:rsidP="004F15A0">
            <w:pPr>
              <w:tabs>
                <w:tab w:val="left" w:pos="240"/>
                <w:tab w:val="center" w:pos="4839"/>
              </w:tabs>
              <w:rPr>
                <w:rFonts w:ascii="Arial" w:eastAsia="Calibri" w:hAnsi="Arial" w:cs="Arial"/>
                <w:bCs/>
              </w:rPr>
            </w:pPr>
          </w:p>
          <w:p w14:paraId="3CBB6BC0" w14:textId="6FAD878E" w:rsidR="00956DEC" w:rsidRDefault="00956DEC" w:rsidP="004F15A0">
            <w:pPr>
              <w:tabs>
                <w:tab w:val="left" w:pos="240"/>
                <w:tab w:val="center" w:pos="4839"/>
              </w:tabs>
              <w:rPr>
                <w:rFonts w:ascii="Arial" w:eastAsia="Calibri" w:hAnsi="Arial" w:cs="Arial"/>
                <w:bCs/>
              </w:rPr>
            </w:pPr>
          </w:p>
          <w:p w14:paraId="6F3639C2" w14:textId="77777777" w:rsidR="00437F6E" w:rsidRDefault="00437F6E" w:rsidP="004F15A0">
            <w:pPr>
              <w:tabs>
                <w:tab w:val="left" w:pos="240"/>
                <w:tab w:val="center" w:pos="4839"/>
              </w:tabs>
              <w:rPr>
                <w:rFonts w:ascii="Arial" w:eastAsia="Calibri" w:hAnsi="Arial" w:cs="Arial"/>
                <w:bCs/>
              </w:rPr>
            </w:pPr>
          </w:p>
          <w:p w14:paraId="7BE00B0A" w14:textId="77777777" w:rsidR="00F44E6B" w:rsidRDefault="00F44E6B" w:rsidP="004F15A0">
            <w:pPr>
              <w:tabs>
                <w:tab w:val="left" w:pos="240"/>
                <w:tab w:val="center" w:pos="4839"/>
              </w:tabs>
              <w:rPr>
                <w:rFonts w:ascii="Arial" w:hAnsi="Arial" w:cs="Arial"/>
              </w:rPr>
            </w:pPr>
          </w:p>
          <w:p w14:paraId="754475A5" w14:textId="77777777" w:rsidR="00711497" w:rsidRDefault="00711497" w:rsidP="004F15A0">
            <w:pPr>
              <w:tabs>
                <w:tab w:val="left" w:pos="240"/>
                <w:tab w:val="center" w:pos="4839"/>
              </w:tabs>
              <w:rPr>
                <w:rFonts w:ascii="Arial" w:hAnsi="Arial" w:cs="Arial"/>
              </w:rPr>
            </w:pPr>
          </w:p>
          <w:p w14:paraId="754DDC9C" w14:textId="77777777" w:rsidR="00711497" w:rsidRDefault="00711497" w:rsidP="004F15A0">
            <w:pPr>
              <w:tabs>
                <w:tab w:val="left" w:pos="240"/>
                <w:tab w:val="center" w:pos="4839"/>
              </w:tabs>
              <w:rPr>
                <w:rFonts w:ascii="Arial" w:hAnsi="Arial" w:cs="Arial"/>
              </w:rPr>
            </w:pPr>
          </w:p>
          <w:p w14:paraId="1302CF70" w14:textId="77777777" w:rsidR="00711497" w:rsidRDefault="00711497" w:rsidP="004F15A0">
            <w:pPr>
              <w:tabs>
                <w:tab w:val="left" w:pos="240"/>
                <w:tab w:val="center" w:pos="4839"/>
              </w:tabs>
              <w:rPr>
                <w:rFonts w:ascii="Arial" w:hAnsi="Arial" w:cs="Arial"/>
              </w:rPr>
            </w:pPr>
          </w:p>
          <w:p w14:paraId="48A2B420" w14:textId="77777777" w:rsidR="00711497" w:rsidRDefault="00711497" w:rsidP="004F15A0">
            <w:pPr>
              <w:tabs>
                <w:tab w:val="left" w:pos="240"/>
                <w:tab w:val="center" w:pos="4839"/>
              </w:tabs>
              <w:rPr>
                <w:rFonts w:ascii="Arial" w:hAnsi="Arial" w:cs="Arial"/>
              </w:rPr>
            </w:pPr>
          </w:p>
          <w:p w14:paraId="010DB2E4" w14:textId="77777777" w:rsidR="00711497" w:rsidRDefault="00711497" w:rsidP="004F15A0">
            <w:pPr>
              <w:tabs>
                <w:tab w:val="left" w:pos="240"/>
                <w:tab w:val="center" w:pos="4839"/>
              </w:tabs>
              <w:rPr>
                <w:rFonts w:ascii="Arial" w:hAnsi="Arial" w:cs="Arial"/>
              </w:rPr>
            </w:pPr>
          </w:p>
          <w:p w14:paraId="2D0777FA" w14:textId="77777777" w:rsidR="00711497" w:rsidRDefault="00711497" w:rsidP="004F15A0">
            <w:pPr>
              <w:tabs>
                <w:tab w:val="left" w:pos="240"/>
                <w:tab w:val="center" w:pos="4839"/>
              </w:tabs>
              <w:rPr>
                <w:rFonts w:ascii="Arial" w:hAnsi="Arial" w:cs="Arial"/>
              </w:rPr>
            </w:pPr>
          </w:p>
          <w:p w14:paraId="1A620D5F" w14:textId="77777777" w:rsidR="00711497" w:rsidRDefault="00711497" w:rsidP="004F15A0">
            <w:pPr>
              <w:tabs>
                <w:tab w:val="left" w:pos="240"/>
                <w:tab w:val="center" w:pos="4839"/>
              </w:tabs>
              <w:rPr>
                <w:rFonts w:ascii="Arial" w:hAnsi="Arial" w:cs="Arial"/>
              </w:rPr>
            </w:pPr>
          </w:p>
          <w:p w14:paraId="41375194" w14:textId="77777777" w:rsidR="00711497" w:rsidRDefault="00711497" w:rsidP="004F15A0">
            <w:pPr>
              <w:tabs>
                <w:tab w:val="left" w:pos="240"/>
                <w:tab w:val="center" w:pos="4839"/>
              </w:tabs>
              <w:rPr>
                <w:rFonts w:ascii="Arial" w:hAnsi="Arial" w:cs="Arial"/>
              </w:rPr>
            </w:pPr>
          </w:p>
          <w:p w14:paraId="231D9BC0" w14:textId="77777777" w:rsidR="00711497" w:rsidRDefault="00711497" w:rsidP="004F15A0">
            <w:pPr>
              <w:tabs>
                <w:tab w:val="left" w:pos="240"/>
                <w:tab w:val="center" w:pos="4839"/>
              </w:tabs>
              <w:rPr>
                <w:rFonts w:ascii="Arial" w:hAnsi="Arial" w:cs="Arial"/>
              </w:rPr>
            </w:pPr>
          </w:p>
          <w:p w14:paraId="382E2F2E" w14:textId="77777777" w:rsidR="00711497" w:rsidRDefault="00711497" w:rsidP="004F15A0">
            <w:pPr>
              <w:tabs>
                <w:tab w:val="left" w:pos="240"/>
                <w:tab w:val="center" w:pos="4839"/>
              </w:tabs>
              <w:rPr>
                <w:rFonts w:ascii="Arial" w:hAnsi="Arial" w:cs="Arial"/>
              </w:rPr>
            </w:pPr>
          </w:p>
          <w:p w14:paraId="2407F073" w14:textId="77777777" w:rsidR="00711497" w:rsidRDefault="00711497" w:rsidP="004F15A0">
            <w:pPr>
              <w:tabs>
                <w:tab w:val="left" w:pos="240"/>
                <w:tab w:val="center" w:pos="4839"/>
              </w:tabs>
              <w:rPr>
                <w:rFonts w:ascii="Arial" w:hAnsi="Arial" w:cs="Arial"/>
              </w:rPr>
            </w:pPr>
          </w:p>
          <w:p w14:paraId="211A6167" w14:textId="77777777" w:rsidR="00711497" w:rsidRDefault="00711497" w:rsidP="004F15A0">
            <w:pPr>
              <w:tabs>
                <w:tab w:val="left" w:pos="240"/>
                <w:tab w:val="center" w:pos="4839"/>
              </w:tabs>
              <w:rPr>
                <w:rFonts w:ascii="Arial" w:hAnsi="Arial" w:cs="Arial"/>
              </w:rPr>
            </w:pPr>
          </w:p>
          <w:p w14:paraId="79FA0C83" w14:textId="77777777" w:rsidR="00711497" w:rsidRDefault="00711497" w:rsidP="004F15A0">
            <w:pPr>
              <w:tabs>
                <w:tab w:val="left" w:pos="240"/>
                <w:tab w:val="center" w:pos="4839"/>
              </w:tabs>
              <w:rPr>
                <w:rFonts w:ascii="Arial" w:hAnsi="Arial" w:cs="Arial"/>
              </w:rPr>
            </w:pPr>
          </w:p>
          <w:p w14:paraId="21B96AE4" w14:textId="77777777" w:rsidR="00711497" w:rsidRDefault="00711497" w:rsidP="004F15A0">
            <w:pPr>
              <w:tabs>
                <w:tab w:val="left" w:pos="240"/>
                <w:tab w:val="center" w:pos="4839"/>
              </w:tabs>
              <w:rPr>
                <w:rFonts w:ascii="Arial" w:hAnsi="Arial" w:cs="Arial"/>
              </w:rPr>
            </w:pPr>
          </w:p>
          <w:p w14:paraId="68A38B8F" w14:textId="77777777" w:rsidR="00711497" w:rsidRDefault="00711497" w:rsidP="004F15A0">
            <w:pPr>
              <w:tabs>
                <w:tab w:val="left" w:pos="240"/>
                <w:tab w:val="center" w:pos="4839"/>
              </w:tabs>
              <w:rPr>
                <w:rFonts w:ascii="Arial" w:hAnsi="Arial" w:cs="Arial"/>
              </w:rPr>
            </w:pPr>
          </w:p>
          <w:p w14:paraId="2C93F27D" w14:textId="77777777" w:rsidR="00711497" w:rsidRDefault="00711497" w:rsidP="004F15A0">
            <w:pPr>
              <w:tabs>
                <w:tab w:val="left" w:pos="240"/>
                <w:tab w:val="center" w:pos="4839"/>
              </w:tabs>
              <w:rPr>
                <w:rFonts w:ascii="Arial" w:hAnsi="Arial" w:cs="Arial"/>
              </w:rPr>
            </w:pPr>
          </w:p>
          <w:p w14:paraId="6D6C6CD3" w14:textId="77777777" w:rsidR="00711497" w:rsidRDefault="00711497" w:rsidP="004F15A0">
            <w:pPr>
              <w:tabs>
                <w:tab w:val="left" w:pos="240"/>
                <w:tab w:val="center" w:pos="4839"/>
              </w:tabs>
              <w:rPr>
                <w:rFonts w:ascii="Arial" w:hAnsi="Arial" w:cs="Arial"/>
              </w:rPr>
            </w:pPr>
          </w:p>
          <w:p w14:paraId="22358695" w14:textId="77777777" w:rsidR="00711497" w:rsidRDefault="00711497" w:rsidP="004F15A0">
            <w:pPr>
              <w:tabs>
                <w:tab w:val="left" w:pos="240"/>
                <w:tab w:val="center" w:pos="4839"/>
              </w:tabs>
              <w:rPr>
                <w:rFonts w:ascii="Arial" w:hAnsi="Arial" w:cs="Arial"/>
              </w:rPr>
            </w:pPr>
          </w:p>
          <w:p w14:paraId="078AA291" w14:textId="77777777" w:rsidR="00711497" w:rsidRDefault="00711497" w:rsidP="004F15A0">
            <w:pPr>
              <w:tabs>
                <w:tab w:val="left" w:pos="240"/>
                <w:tab w:val="center" w:pos="4839"/>
              </w:tabs>
              <w:rPr>
                <w:rFonts w:ascii="Arial" w:hAnsi="Arial" w:cs="Arial"/>
              </w:rPr>
            </w:pPr>
          </w:p>
          <w:p w14:paraId="08E2D578" w14:textId="7A78CE2E" w:rsidR="00711497" w:rsidRPr="00B51D1F" w:rsidRDefault="00711497" w:rsidP="004F15A0">
            <w:pPr>
              <w:tabs>
                <w:tab w:val="left" w:pos="240"/>
                <w:tab w:val="center" w:pos="4839"/>
              </w:tabs>
              <w:rPr>
                <w:rFonts w:ascii="Arial" w:hAnsi="Arial" w:cs="Arial"/>
              </w:rPr>
            </w:pPr>
          </w:p>
        </w:tc>
      </w:tr>
      <w:tr w:rsidR="002A162A" w:rsidRPr="000602A6" w14:paraId="04A108BA" w14:textId="77777777" w:rsidTr="00956DEC">
        <w:trPr>
          <w:trHeight w:val="279"/>
        </w:trPr>
        <w:tc>
          <w:tcPr>
            <w:tcW w:w="8815" w:type="dxa"/>
            <w:gridSpan w:val="2"/>
            <w:shd w:val="clear" w:color="auto" w:fill="1F4E79" w:themeFill="accent1" w:themeFillShade="80"/>
          </w:tcPr>
          <w:p w14:paraId="62A59063" w14:textId="6AE36F5F" w:rsidR="002A162A" w:rsidRPr="000602A6" w:rsidRDefault="00E263AE" w:rsidP="00975117">
            <w:pPr>
              <w:jc w:val="center"/>
              <w:rPr>
                <w:rFonts w:ascii="Arial" w:hAnsi="Arial" w:cs="Arial"/>
                <w:b/>
                <w:color w:val="FFFFFF" w:themeColor="background1"/>
              </w:rPr>
            </w:pPr>
            <w:r>
              <w:rPr>
                <w:rFonts w:ascii="Arial" w:hAnsi="Arial" w:cs="Arial"/>
                <w:b/>
                <w:color w:val="FFFFFF" w:themeColor="background1"/>
              </w:rPr>
              <w:lastRenderedPageBreak/>
              <w:t>February 28, 2020</w:t>
            </w:r>
          </w:p>
        </w:tc>
      </w:tr>
      <w:tr w:rsidR="002A162A" w:rsidRPr="000602A6" w14:paraId="2483BC07" w14:textId="77777777" w:rsidTr="00956DEC">
        <w:trPr>
          <w:trHeight w:val="279"/>
        </w:trPr>
        <w:tc>
          <w:tcPr>
            <w:tcW w:w="2111" w:type="dxa"/>
            <w:shd w:val="clear" w:color="auto" w:fill="1F4E79" w:themeFill="accent1" w:themeFillShade="80"/>
          </w:tcPr>
          <w:p w14:paraId="30D86F95"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6704" w:type="dxa"/>
          </w:tcPr>
          <w:p w14:paraId="7A3D80D1" w14:textId="365AFB5C" w:rsidR="002A162A" w:rsidRPr="000602A6" w:rsidRDefault="00E263AE" w:rsidP="00975117">
            <w:pPr>
              <w:rPr>
                <w:rFonts w:ascii="Arial" w:hAnsi="Arial" w:cs="Arial"/>
              </w:rPr>
            </w:pPr>
            <w:r>
              <w:rPr>
                <w:rFonts w:ascii="Arial" w:hAnsi="Arial" w:cs="Arial"/>
              </w:rPr>
              <w:t>Fitchburg Electric and Gas Light</w:t>
            </w:r>
          </w:p>
        </w:tc>
      </w:tr>
      <w:tr w:rsidR="002A162A" w:rsidRPr="00B51D1F" w14:paraId="792CB293" w14:textId="77777777" w:rsidTr="00956DEC">
        <w:trPr>
          <w:trHeight w:val="279"/>
        </w:trPr>
        <w:tc>
          <w:tcPr>
            <w:tcW w:w="2111" w:type="dxa"/>
            <w:shd w:val="clear" w:color="auto" w:fill="1F4E79" w:themeFill="accent1" w:themeFillShade="80"/>
          </w:tcPr>
          <w:p w14:paraId="6CD113CF"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6704" w:type="dxa"/>
          </w:tcPr>
          <w:p w14:paraId="2BF1E00A" w14:textId="0611F488" w:rsidR="002A162A" w:rsidRPr="00B51D1F" w:rsidRDefault="00E263AE" w:rsidP="00975117">
            <w:pPr>
              <w:rPr>
                <w:rFonts w:ascii="Arial" w:hAnsi="Arial" w:cs="Arial"/>
              </w:rPr>
            </w:pPr>
            <w:r>
              <w:rPr>
                <w:rFonts w:ascii="Arial" w:hAnsi="Arial" w:cs="Arial"/>
              </w:rPr>
              <w:t>Massachusetts</w:t>
            </w:r>
          </w:p>
        </w:tc>
      </w:tr>
      <w:tr w:rsidR="002A162A" w:rsidRPr="00B51D1F" w14:paraId="0047500E" w14:textId="77777777" w:rsidTr="00956DEC">
        <w:trPr>
          <w:trHeight w:val="263"/>
        </w:trPr>
        <w:tc>
          <w:tcPr>
            <w:tcW w:w="2111" w:type="dxa"/>
            <w:shd w:val="clear" w:color="auto" w:fill="1F4E79" w:themeFill="accent1" w:themeFillShade="80"/>
          </w:tcPr>
          <w:p w14:paraId="42CBB487"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tcPr>
          <w:p w14:paraId="1BD97417" w14:textId="720E0AC9" w:rsidR="002A162A" w:rsidRPr="00B51D1F" w:rsidRDefault="0009189A" w:rsidP="00975117">
            <w:pPr>
              <w:rPr>
                <w:rFonts w:ascii="Arial" w:hAnsi="Arial" w:cs="Arial"/>
                <w:color w:val="0000FF"/>
                <w:u w:val="single"/>
              </w:rPr>
            </w:pPr>
            <w:hyperlink r:id="rId21" w:history="1">
              <w:r w:rsidR="00EE6E8B" w:rsidRPr="00CA1BF4">
                <w:rPr>
                  <w:rStyle w:val="Hyperlink"/>
                  <w:rFonts w:ascii="Arial" w:hAnsi="Arial" w:cs="Arial"/>
                </w:rPr>
                <w:t>DPU 19-131</w:t>
              </w:r>
            </w:hyperlink>
          </w:p>
        </w:tc>
      </w:tr>
      <w:tr w:rsidR="002A162A" w:rsidRPr="00416BC2" w14:paraId="718D23F9" w14:textId="77777777" w:rsidTr="00956DEC">
        <w:trPr>
          <w:trHeight w:val="279"/>
        </w:trPr>
        <w:tc>
          <w:tcPr>
            <w:tcW w:w="2111" w:type="dxa"/>
            <w:shd w:val="clear" w:color="auto" w:fill="1F4E79" w:themeFill="accent1" w:themeFillShade="80"/>
          </w:tcPr>
          <w:p w14:paraId="4AD6D751"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tcPr>
          <w:p w14:paraId="2F0F1B0A" w14:textId="7BBBA195" w:rsidR="002A162A" w:rsidRPr="00416BC2" w:rsidRDefault="008A2177" w:rsidP="00975117">
            <w:pPr>
              <w:rPr>
                <w:rFonts w:ascii="Arial" w:hAnsi="Arial" w:cs="Arial"/>
              </w:rPr>
            </w:pPr>
            <w:r>
              <w:rPr>
                <w:rFonts w:ascii="Arial" w:hAnsi="Arial" w:cs="Arial"/>
              </w:rPr>
              <w:t>$</w:t>
            </w:r>
            <w:r w:rsidR="00F27634">
              <w:rPr>
                <w:rFonts w:ascii="Arial" w:hAnsi="Arial" w:cs="Arial"/>
              </w:rPr>
              <w:t>4,595,760</w:t>
            </w:r>
          </w:p>
        </w:tc>
      </w:tr>
      <w:tr w:rsidR="002A162A" w:rsidRPr="00B51D1F" w14:paraId="176B818B" w14:textId="77777777" w:rsidTr="00956DEC">
        <w:trPr>
          <w:trHeight w:val="263"/>
        </w:trPr>
        <w:tc>
          <w:tcPr>
            <w:tcW w:w="2111" w:type="dxa"/>
            <w:shd w:val="clear" w:color="auto" w:fill="1F4E79" w:themeFill="accent1" w:themeFillShade="80"/>
          </w:tcPr>
          <w:p w14:paraId="4EAA0363"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tcPr>
          <w:p w14:paraId="6B50D796" w14:textId="69A7C4BA" w:rsidR="002A162A" w:rsidRPr="00B51D1F" w:rsidRDefault="00F27634" w:rsidP="00975117">
            <w:pPr>
              <w:rPr>
                <w:rFonts w:ascii="Arial" w:hAnsi="Arial" w:cs="Arial"/>
              </w:rPr>
            </w:pPr>
            <w:r>
              <w:rPr>
                <w:rFonts w:ascii="Arial" w:hAnsi="Arial" w:cs="Arial"/>
              </w:rPr>
              <w:t>9.70</w:t>
            </w:r>
            <w:r w:rsidR="008A2177">
              <w:rPr>
                <w:rFonts w:ascii="Arial" w:hAnsi="Arial" w:cs="Arial"/>
              </w:rPr>
              <w:t>%</w:t>
            </w:r>
          </w:p>
        </w:tc>
      </w:tr>
      <w:tr w:rsidR="002A162A" w:rsidRPr="00B51D1F" w14:paraId="774CC550" w14:textId="77777777" w:rsidTr="00956DEC">
        <w:trPr>
          <w:trHeight w:val="263"/>
        </w:trPr>
        <w:tc>
          <w:tcPr>
            <w:tcW w:w="2111" w:type="dxa"/>
            <w:shd w:val="clear" w:color="auto" w:fill="1F4E79" w:themeFill="accent1" w:themeFillShade="80"/>
          </w:tcPr>
          <w:p w14:paraId="12556247"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6704" w:type="dxa"/>
          </w:tcPr>
          <w:p w14:paraId="70A7FAC8" w14:textId="13CFC92F" w:rsidR="00DB52B9" w:rsidRPr="00B51D1F" w:rsidRDefault="00163EB8" w:rsidP="00AF4BB1">
            <w:pPr>
              <w:rPr>
                <w:rFonts w:ascii="Arial" w:hAnsi="Arial" w:cs="Arial"/>
              </w:rPr>
            </w:pPr>
            <w:r>
              <w:rPr>
                <w:rFonts w:ascii="Arial" w:hAnsi="Arial" w:cs="Arial"/>
              </w:rPr>
              <w:t xml:space="preserve">Department of Energy Resources, </w:t>
            </w:r>
            <w:r w:rsidR="006C4422" w:rsidRPr="006C4422">
              <w:rPr>
                <w:rFonts w:ascii="Arial" w:hAnsi="Arial" w:cs="Arial"/>
              </w:rPr>
              <w:t>Low-Income Weatherization and Fuel Assistance Program Network</w:t>
            </w:r>
          </w:p>
        </w:tc>
      </w:tr>
      <w:tr w:rsidR="002A162A" w:rsidRPr="00B51D1F" w14:paraId="78B083A4" w14:textId="77777777" w:rsidTr="00956DEC">
        <w:trPr>
          <w:trHeight w:val="263"/>
        </w:trPr>
        <w:tc>
          <w:tcPr>
            <w:tcW w:w="8815" w:type="dxa"/>
            <w:gridSpan w:val="2"/>
            <w:shd w:val="clear" w:color="auto" w:fill="1F4E79" w:themeFill="accent1" w:themeFillShade="80"/>
          </w:tcPr>
          <w:p w14:paraId="573A753D"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656779A3" w14:textId="77777777" w:rsidTr="00956DEC">
        <w:trPr>
          <w:trHeight w:val="263"/>
        </w:trPr>
        <w:tc>
          <w:tcPr>
            <w:tcW w:w="8815" w:type="dxa"/>
            <w:gridSpan w:val="2"/>
            <w:shd w:val="clear" w:color="auto" w:fill="FFFFFF" w:themeFill="background1"/>
          </w:tcPr>
          <w:p w14:paraId="58AB5F04" w14:textId="668DAD12" w:rsidR="00956DEC" w:rsidRDefault="00AE3020" w:rsidP="00242A08">
            <w:pPr>
              <w:tabs>
                <w:tab w:val="left" w:pos="240"/>
                <w:tab w:val="center" w:pos="4839"/>
              </w:tabs>
              <w:rPr>
                <w:rFonts w:ascii="Arial" w:hAnsi="Arial" w:cs="Arial"/>
              </w:rPr>
            </w:pPr>
            <w:r w:rsidRPr="00AE3020">
              <w:rPr>
                <w:rFonts w:ascii="Arial" w:hAnsi="Arial" w:cs="Arial"/>
              </w:rPr>
              <w:t>Rate increase of $4.6 million to be phased in over two years - a $3.7 million increase is to become effective March 1, 2020, and an additional $0.9 million increase is to become effective March 1, 2021.</w:t>
            </w:r>
          </w:p>
          <w:p w14:paraId="34F761E1" w14:textId="77777777" w:rsidR="00AE3020" w:rsidRDefault="00AE3020" w:rsidP="00242A08">
            <w:pPr>
              <w:tabs>
                <w:tab w:val="left" w:pos="240"/>
                <w:tab w:val="center" w:pos="4839"/>
              </w:tabs>
              <w:rPr>
                <w:rFonts w:ascii="Arial" w:hAnsi="Arial" w:cs="Arial"/>
              </w:rPr>
            </w:pPr>
          </w:p>
          <w:p w14:paraId="787802F5" w14:textId="77777777" w:rsidR="00711497" w:rsidRDefault="00711497" w:rsidP="00242A08">
            <w:pPr>
              <w:tabs>
                <w:tab w:val="left" w:pos="240"/>
                <w:tab w:val="center" w:pos="4839"/>
              </w:tabs>
              <w:rPr>
                <w:rFonts w:ascii="Arial" w:hAnsi="Arial" w:cs="Arial"/>
              </w:rPr>
            </w:pPr>
          </w:p>
          <w:p w14:paraId="09DC9D32" w14:textId="77777777" w:rsidR="00711497" w:rsidRDefault="00711497" w:rsidP="00242A08">
            <w:pPr>
              <w:tabs>
                <w:tab w:val="left" w:pos="240"/>
                <w:tab w:val="center" w:pos="4839"/>
              </w:tabs>
              <w:rPr>
                <w:rFonts w:ascii="Arial" w:hAnsi="Arial" w:cs="Arial"/>
              </w:rPr>
            </w:pPr>
          </w:p>
          <w:p w14:paraId="329C4ED8" w14:textId="77777777" w:rsidR="00711497" w:rsidRDefault="00711497" w:rsidP="00242A08">
            <w:pPr>
              <w:tabs>
                <w:tab w:val="left" w:pos="240"/>
                <w:tab w:val="center" w:pos="4839"/>
              </w:tabs>
              <w:rPr>
                <w:rFonts w:ascii="Arial" w:hAnsi="Arial" w:cs="Arial"/>
              </w:rPr>
            </w:pPr>
          </w:p>
          <w:p w14:paraId="0530BDDC" w14:textId="77777777" w:rsidR="00711497" w:rsidRDefault="00711497" w:rsidP="00242A08">
            <w:pPr>
              <w:tabs>
                <w:tab w:val="left" w:pos="240"/>
                <w:tab w:val="center" w:pos="4839"/>
              </w:tabs>
              <w:rPr>
                <w:rFonts w:ascii="Arial" w:hAnsi="Arial" w:cs="Arial"/>
              </w:rPr>
            </w:pPr>
          </w:p>
          <w:p w14:paraId="5158FBF4" w14:textId="77777777" w:rsidR="00711497" w:rsidRDefault="00711497" w:rsidP="00242A08">
            <w:pPr>
              <w:tabs>
                <w:tab w:val="left" w:pos="240"/>
                <w:tab w:val="center" w:pos="4839"/>
              </w:tabs>
              <w:rPr>
                <w:rFonts w:ascii="Arial" w:hAnsi="Arial" w:cs="Arial"/>
              </w:rPr>
            </w:pPr>
          </w:p>
          <w:p w14:paraId="2881C3C5" w14:textId="77777777" w:rsidR="00711497" w:rsidRDefault="00711497" w:rsidP="00242A08">
            <w:pPr>
              <w:tabs>
                <w:tab w:val="left" w:pos="240"/>
                <w:tab w:val="center" w:pos="4839"/>
              </w:tabs>
              <w:rPr>
                <w:rFonts w:ascii="Arial" w:hAnsi="Arial" w:cs="Arial"/>
              </w:rPr>
            </w:pPr>
          </w:p>
          <w:p w14:paraId="57E1EE94" w14:textId="77777777" w:rsidR="00711497" w:rsidRDefault="00711497" w:rsidP="00242A08">
            <w:pPr>
              <w:tabs>
                <w:tab w:val="left" w:pos="240"/>
                <w:tab w:val="center" w:pos="4839"/>
              </w:tabs>
              <w:rPr>
                <w:rFonts w:ascii="Arial" w:hAnsi="Arial" w:cs="Arial"/>
              </w:rPr>
            </w:pPr>
          </w:p>
          <w:p w14:paraId="09DBEB28" w14:textId="77777777" w:rsidR="00711497" w:rsidRDefault="00711497" w:rsidP="00242A08">
            <w:pPr>
              <w:tabs>
                <w:tab w:val="left" w:pos="240"/>
                <w:tab w:val="center" w:pos="4839"/>
              </w:tabs>
              <w:rPr>
                <w:rFonts w:ascii="Arial" w:hAnsi="Arial" w:cs="Arial"/>
              </w:rPr>
            </w:pPr>
          </w:p>
          <w:p w14:paraId="256B970A" w14:textId="77777777" w:rsidR="00711497" w:rsidRDefault="00711497" w:rsidP="00242A08">
            <w:pPr>
              <w:tabs>
                <w:tab w:val="left" w:pos="240"/>
                <w:tab w:val="center" w:pos="4839"/>
              </w:tabs>
              <w:rPr>
                <w:rFonts w:ascii="Arial" w:hAnsi="Arial" w:cs="Arial"/>
              </w:rPr>
            </w:pPr>
          </w:p>
          <w:p w14:paraId="0785EE65" w14:textId="77777777" w:rsidR="00711497" w:rsidRDefault="00711497" w:rsidP="00242A08">
            <w:pPr>
              <w:tabs>
                <w:tab w:val="left" w:pos="240"/>
                <w:tab w:val="center" w:pos="4839"/>
              </w:tabs>
              <w:rPr>
                <w:rFonts w:ascii="Arial" w:hAnsi="Arial" w:cs="Arial"/>
              </w:rPr>
            </w:pPr>
          </w:p>
          <w:p w14:paraId="7036A646" w14:textId="77777777" w:rsidR="00711497" w:rsidRDefault="00711497" w:rsidP="00242A08">
            <w:pPr>
              <w:tabs>
                <w:tab w:val="left" w:pos="240"/>
                <w:tab w:val="center" w:pos="4839"/>
              </w:tabs>
              <w:rPr>
                <w:rFonts w:ascii="Arial" w:hAnsi="Arial" w:cs="Arial"/>
              </w:rPr>
            </w:pPr>
          </w:p>
          <w:p w14:paraId="3B7B6591" w14:textId="77777777" w:rsidR="00711497" w:rsidRDefault="00711497" w:rsidP="00242A08">
            <w:pPr>
              <w:tabs>
                <w:tab w:val="left" w:pos="240"/>
                <w:tab w:val="center" w:pos="4839"/>
              </w:tabs>
              <w:rPr>
                <w:rFonts w:ascii="Arial" w:hAnsi="Arial" w:cs="Arial"/>
              </w:rPr>
            </w:pPr>
          </w:p>
          <w:p w14:paraId="3FCE39A1" w14:textId="77777777" w:rsidR="00711497" w:rsidRDefault="00711497" w:rsidP="00242A08">
            <w:pPr>
              <w:tabs>
                <w:tab w:val="left" w:pos="240"/>
                <w:tab w:val="center" w:pos="4839"/>
              </w:tabs>
              <w:rPr>
                <w:rFonts w:ascii="Arial" w:hAnsi="Arial" w:cs="Arial"/>
              </w:rPr>
            </w:pPr>
          </w:p>
          <w:p w14:paraId="51795FA8" w14:textId="77777777" w:rsidR="00711497" w:rsidRDefault="00711497" w:rsidP="00242A08">
            <w:pPr>
              <w:tabs>
                <w:tab w:val="left" w:pos="240"/>
                <w:tab w:val="center" w:pos="4839"/>
              </w:tabs>
              <w:rPr>
                <w:rFonts w:ascii="Arial" w:hAnsi="Arial" w:cs="Arial"/>
              </w:rPr>
            </w:pPr>
          </w:p>
          <w:p w14:paraId="12EEEF10" w14:textId="77777777" w:rsidR="00711497" w:rsidRDefault="00711497" w:rsidP="00242A08">
            <w:pPr>
              <w:tabs>
                <w:tab w:val="left" w:pos="240"/>
                <w:tab w:val="center" w:pos="4839"/>
              </w:tabs>
              <w:rPr>
                <w:rFonts w:ascii="Arial" w:hAnsi="Arial" w:cs="Arial"/>
              </w:rPr>
            </w:pPr>
          </w:p>
          <w:p w14:paraId="45534227" w14:textId="77777777" w:rsidR="00711497" w:rsidRDefault="00711497" w:rsidP="00242A08">
            <w:pPr>
              <w:tabs>
                <w:tab w:val="left" w:pos="240"/>
                <w:tab w:val="center" w:pos="4839"/>
              </w:tabs>
              <w:rPr>
                <w:rFonts w:ascii="Arial" w:hAnsi="Arial" w:cs="Arial"/>
              </w:rPr>
            </w:pPr>
          </w:p>
          <w:p w14:paraId="5DBDFEFB" w14:textId="77777777" w:rsidR="00711497" w:rsidRDefault="00711497" w:rsidP="00242A08">
            <w:pPr>
              <w:tabs>
                <w:tab w:val="left" w:pos="240"/>
                <w:tab w:val="center" w:pos="4839"/>
              </w:tabs>
              <w:rPr>
                <w:rFonts w:ascii="Arial" w:hAnsi="Arial" w:cs="Arial"/>
              </w:rPr>
            </w:pPr>
          </w:p>
          <w:p w14:paraId="5BFB92A0" w14:textId="77777777" w:rsidR="00711497" w:rsidRDefault="00711497" w:rsidP="00242A08">
            <w:pPr>
              <w:tabs>
                <w:tab w:val="left" w:pos="240"/>
                <w:tab w:val="center" w:pos="4839"/>
              </w:tabs>
              <w:rPr>
                <w:rFonts w:ascii="Arial" w:hAnsi="Arial" w:cs="Arial"/>
              </w:rPr>
            </w:pPr>
          </w:p>
          <w:p w14:paraId="51311305" w14:textId="77777777" w:rsidR="00711497" w:rsidRDefault="00711497" w:rsidP="00242A08">
            <w:pPr>
              <w:tabs>
                <w:tab w:val="left" w:pos="240"/>
                <w:tab w:val="center" w:pos="4839"/>
              </w:tabs>
              <w:rPr>
                <w:rFonts w:ascii="Arial" w:hAnsi="Arial" w:cs="Arial"/>
              </w:rPr>
            </w:pPr>
          </w:p>
          <w:p w14:paraId="1E6F1B45" w14:textId="77777777" w:rsidR="00711497" w:rsidRDefault="00711497" w:rsidP="00242A08">
            <w:pPr>
              <w:tabs>
                <w:tab w:val="left" w:pos="240"/>
                <w:tab w:val="center" w:pos="4839"/>
              </w:tabs>
              <w:rPr>
                <w:rFonts w:ascii="Arial" w:hAnsi="Arial" w:cs="Arial"/>
              </w:rPr>
            </w:pPr>
          </w:p>
          <w:p w14:paraId="7257D670" w14:textId="77777777" w:rsidR="00711497" w:rsidRDefault="00711497" w:rsidP="00242A08">
            <w:pPr>
              <w:tabs>
                <w:tab w:val="left" w:pos="240"/>
                <w:tab w:val="center" w:pos="4839"/>
              </w:tabs>
              <w:rPr>
                <w:rFonts w:ascii="Arial" w:hAnsi="Arial" w:cs="Arial"/>
              </w:rPr>
            </w:pPr>
          </w:p>
          <w:p w14:paraId="27A90CFA" w14:textId="77777777" w:rsidR="00711497" w:rsidRDefault="00711497" w:rsidP="00242A08">
            <w:pPr>
              <w:tabs>
                <w:tab w:val="left" w:pos="240"/>
                <w:tab w:val="center" w:pos="4839"/>
              </w:tabs>
              <w:rPr>
                <w:rFonts w:ascii="Arial" w:hAnsi="Arial" w:cs="Arial"/>
              </w:rPr>
            </w:pPr>
          </w:p>
          <w:p w14:paraId="586B1202" w14:textId="77777777" w:rsidR="00711497" w:rsidRDefault="00711497" w:rsidP="00242A08">
            <w:pPr>
              <w:tabs>
                <w:tab w:val="left" w:pos="240"/>
                <w:tab w:val="center" w:pos="4839"/>
              </w:tabs>
              <w:rPr>
                <w:rFonts w:ascii="Arial" w:hAnsi="Arial" w:cs="Arial"/>
              </w:rPr>
            </w:pPr>
          </w:p>
          <w:p w14:paraId="49419857" w14:textId="77777777" w:rsidR="00711497" w:rsidRDefault="00711497" w:rsidP="00242A08">
            <w:pPr>
              <w:tabs>
                <w:tab w:val="left" w:pos="240"/>
                <w:tab w:val="center" w:pos="4839"/>
              </w:tabs>
              <w:rPr>
                <w:rFonts w:ascii="Arial" w:hAnsi="Arial" w:cs="Arial"/>
              </w:rPr>
            </w:pPr>
          </w:p>
          <w:p w14:paraId="22F8ACB8" w14:textId="77777777" w:rsidR="00711497" w:rsidRDefault="00711497" w:rsidP="00242A08">
            <w:pPr>
              <w:tabs>
                <w:tab w:val="left" w:pos="240"/>
                <w:tab w:val="center" w:pos="4839"/>
              </w:tabs>
              <w:rPr>
                <w:rFonts w:ascii="Arial" w:hAnsi="Arial" w:cs="Arial"/>
              </w:rPr>
            </w:pPr>
          </w:p>
          <w:p w14:paraId="57E2E136" w14:textId="77777777" w:rsidR="00711497" w:rsidRDefault="00711497" w:rsidP="00242A08">
            <w:pPr>
              <w:tabs>
                <w:tab w:val="left" w:pos="240"/>
                <w:tab w:val="center" w:pos="4839"/>
              </w:tabs>
              <w:rPr>
                <w:rFonts w:ascii="Arial" w:hAnsi="Arial" w:cs="Arial"/>
              </w:rPr>
            </w:pPr>
          </w:p>
          <w:p w14:paraId="7123A91E" w14:textId="77777777" w:rsidR="00711497" w:rsidRDefault="00711497" w:rsidP="00242A08">
            <w:pPr>
              <w:tabs>
                <w:tab w:val="left" w:pos="240"/>
                <w:tab w:val="center" w:pos="4839"/>
              </w:tabs>
              <w:rPr>
                <w:rFonts w:ascii="Arial" w:hAnsi="Arial" w:cs="Arial"/>
              </w:rPr>
            </w:pPr>
          </w:p>
          <w:p w14:paraId="466FA932" w14:textId="77777777" w:rsidR="00711497" w:rsidRDefault="00711497" w:rsidP="00242A08">
            <w:pPr>
              <w:tabs>
                <w:tab w:val="left" w:pos="240"/>
                <w:tab w:val="center" w:pos="4839"/>
              </w:tabs>
              <w:rPr>
                <w:rFonts w:ascii="Arial" w:hAnsi="Arial" w:cs="Arial"/>
              </w:rPr>
            </w:pPr>
          </w:p>
          <w:p w14:paraId="4B78C958" w14:textId="77777777" w:rsidR="00711497" w:rsidRDefault="00711497" w:rsidP="00242A08">
            <w:pPr>
              <w:tabs>
                <w:tab w:val="left" w:pos="240"/>
                <w:tab w:val="center" w:pos="4839"/>
              </w:tabs>
              <w:rPr>
                <w:rFonts w:ascii="Arial" w:hAnsi="Arial" w:cs="Arial"/>
              </w:rPr>
            </w:pPr>
          </w:p>
          <w:p w14:paraId="3520D928" w14:textId="77777777" w:rsidR="00711497" w:rsidRDefault="00711497" w:rsidP="00242A08">
            <w:pPr>
              <w:tabs>
                <w:tab w:val="left" w:pos="240"/>
                <w:tab w:val="center" w:pos="4839"/>
              </w:tabs>
              <w:rPr>
                <w:rFonts w:ascii="Arial" w:hAnsi="Arial" w:cs="Arial"/>
              </w:rPr>
            </w:pPr>
          </w:p>
          <w:p w14:paraId="2645F8D3" w14:textId="73D107B0" w:rsidR="00711497" w:rsidRPr="00B51D1F" w:rsidRDefault="00711497" w:rsidP="00242A08">
            <w:pPr>
              <w:tabs>
                <w:tab w:val="left" w:pos="240"/>
                <w:tab w:val="center" w:pos="4839"/>
              </w:tabs>
              <w:rPr>
                <w:rFonts w:ascii="Arial" w:hAnsi="Arial" w:cs="Arial"/>
              </w:rPr>
            </w:pPr>
          </w:p>
        </w:tc>
      </w:tr>
      <w:tr w:rsidR="002A162A" w:rsidRPr="000602A6" w14:paraId="4BEFDD27" w14:textId="77777777" w:rsidTr="00956DEC">
        <w:trPr>
          <w:trHeight w:val="279"/>
        </w:trPr>
        <w:tc>
          <w:tcPr>
            <w:tcW w:w="8815" w:type="dxa"/>
            <w:gridSpan w:val="2"/>
            <w:shd w:val="clear" w:color="auto" w:fill="1F4E79" w:themeFill="accent1" w:themeFillShade="80"/>
          </w:tcPr>
          <w:p w14:paraId="4DB24AE4" w14:textId="60EE3ECD" w:rsidR="002A162A" w:rsidRPr="000602A6" w:rsidRDefault="00C4020F" w:rsidP="00975117">
            <w:pPr>
              <w:jc w:val="center"/>
              <w:rPr>
                <w:rFonts w:ascii="Arial" w:hAnsi="Arial" w:cs="Arial"/>
                <w:b/>
                <w:color w:val="FFFFFF" w:themeColor="background1"/>
              </w:rPr>
            </w:pPr>
            <w:r>
              <w:rPr>
                <w:rFonts w:ascii="Arial" w:hAnsi="Arial" w:cs="Arial"/>
                <w:b/>
                <w:color w:val="FFFFFF" w:themeColor="background1"/>
              </w:rPr>
              <w:lastRenderedPageBreak/>
              <w:t>March 25, 2020</w:t>
            </w:r>
          </w:p>
        </w:tc>
      </w:tr>
      <w:tr w:rsidR="002A162A" w:rsidRPr="000602A6" w14:paraId="3E278B30" w14:textId="77777777" w:rsidTr="00956DEC">
        <w:trPr>
          <w:trHeight w:val="279"/>
        </w:trPr>
        <w:tc>
          <w:tcPr>
            <w:tcW w:w="2111" w:type="dxa"/>
            <w:shd w:val="clear" w:color="auto" w:fill="1F4E79" w:themeFill="accent1" w:themeFillShade="80"/>
          </w:tcPr>
          <w:p w14:paraId="4C03F038"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6704" w:type="dxa"/>
          </w:tcPr>
          <w:p w14:paraId="4E236005" w14:textId="4C324AE6" w:rsidR="002A162A" w:rsidRPr="000602A6" w:rsidRDefault="00BD5CA7" w:rsidP="00975117">
            <w:pPr>
              <w:rPr>
                <w:rFonts w:ascii="Arial" w:hAnsi="Arial" w:cs="Arial"/>
              </w:rPr>
            </w:pPr>
            <w:r>
              <w:rPr>
                <w:rFonts w:ascii="Arial" w:hAnsi="Arial" w:cs="Arial"/>
              </w:rPr>
              <w:t>Avista Corp.</w:t>
            </w:r>
          </w:p>
        </w:tc>
      </w:tr>
      <w:tr w:rsidR="002A162A" w:rsidRPr="00B51D1F" w14:paraId="0D372B55" w14:textId="77777777" w:rsidTr="00956DEC">
        <w:trPr>
          <w:trHeight w:val="279"/>
        </w:trPr>
        <w:tc>
          <w:tcPr>
            <w:tcW w:w="2111" w:type="dxa"/>
            <w:shd w:val="clear" w:color="auto" w:fill="1F4E79" w:themeFill="accent1" w:themeFillShade="80"/>
          </w:tcPr>
          <w:p w14:paraId="0E139572"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6704" w:type="dxa"/>
          </w:tcPr>
          <w:p w14:paraId="2058E433" w14:textId="282800C8" w:rsidR="002A162A" w:rsidRPr="00B51D1F" w:rsidRDefault="008A2177" w:rsidP="00975117">
            <w:pPr>
              <w:rPr>
                <w:rFonts w:ascii="Arial" w:hAnsi="Arial" w:cs="Arial"/>
              </w:rPr>
            </w:pPr>
            <w:r>
              <w:rPr>
                <w:rFonts w:ascii="Arial" w:hAnsi="Arial" w:cs="Arial"/>
              </w:rPr>
              <w:t>W</w:t>
            </w:r>
            <w:r w:rsidR="00BD5CA7">
              <w:rPr>
                <w:rFonts w:ascii="Arial" w:hAnsi="Arial" w:cs="Arial"/>
              </w:rPr>
              <w:t>ashington</w:t>
            </w:r>
          </w:p>
        </w:tc>
      </w:tr>
      <w:tr w:rsidR="002A162A" w:rsidRPr="00B51D1F" w14:paraId="65C60DCB" w14:textId="77777777" w:rsidTr="00956DEC">
        <w:trPr>
          <w:trHeight w:val="263"/>
        </w:trPr>
        <w:tc>
          <w:tcPr>
            <w:tcW w:w="2111" w:type="dxa"/>
            <w:shd w:val="clear" w:color="auto" w:fill="1F4E79" w:themeFill="accent1" w:themeFillShade="80"/>
          </w:tcPr>
          <w:p w14:paraId="18861534"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tcPr>
          <w:p w14:paraId="6AE81DA4" w14:textId="4D62D002" w:rsidR="002A162A" w:rsidRPr="00B51D1F" w:rsidRDefault="0009189A" w:rsidP="00975117">
            <w:pPr>
              <w:rPr>
                <w:rFonts w:ascii="Arial" w:hAnsi="Arial" w:cs="Arial"/>
                <w:color w:val="0000FF"/>
                <w:u w:val="single"/>
              </w:rPr>
            </w:pPr>
            <w:hyperlink r:id="rId22" w:history="1">
              <w:r w:rsidR="00BD5CA7" w:rsidRPr="00536A45">
                <w:rPr>
                  <w:rStyle w:val="Hyperlink"/>
                  <w:rFonts w:ascii="Arial" w:hAnsi="Arial" w:cs="Arial"/>
                </w:rPr>
                <w:t>D-UG-190335</w:t>
              </w:r>
            </w:hyperlink>
          </w:p>
        </w:tc>
      </w:tr>
      <w:tr w:rsidR="002A162A" w:rsidRPr="00416BC2" w14:paraId="0D07CCFF" w14:textId="77777777" w:rsidTr="00956DEC">
        <w:trPr>
          <w:trHeight w:val="279"/>
        </w:trPr>
        <w:tc>
          <w:tcPr>
            <w:tcW w:w="2111" w:type="dxa"/>
            <w:shd w:val="clear" w:color="auto" w:fill="1F4E79" w:themeFill="accent1" w:themeFillShade="80"/>
          </w:tcPr>
          <w:p w14:paraId="7A0C1044"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tcPr>
          <w:p w14:paraId="3BD8F3A5" w14:textId="29910D5B" w:rsidR="002A162A" w:rsidRPr="00416BC2" w:rsidRDefault="00DB52B9" w:rsidP="00975117">
            <w:pPr>
              <w:rPr>
                <w:rFonts w:ascii="Arial" w:hAnsi="Arial" w:cs="Arial"/>
              </w:rPr>
            </w:pPr>
            <w:r>
              <w:rPr>
                <w:rFonts w:ascii="Arial" w:hAnsi="Arial" w:cs="Arial"/>
              </w:rPr>
              <w:t>$</w:t>
            </w:r>
            <w:r w:rsidR="00EA438D">
              <w:rPr>
                <w:rFonts w:ascii="Arial" w:hAnsi="Arial" w:cs="Arial"/>
              </w:rPr>
              <w:t>8</w:t>
            </w:r>
            <w:r>
              <w:rPr>
                <w:rFonts w:ascii="Arial" w:hAnsi="Arial" w:cs="Arial"/>
              </w:rPr>
              <w:t>,000,000</w:t>
            </w:r>
          </w:p>
        </w:tc>
      </w:tr>
      <w:tr w:rsidR="002A162A" w:rsidRPr="00B51D1F" w14:paraId="0E3F1C47" w14:textId="77777777" w:rsidTr="00956DEC">
        <w:trPr>
          <w:trHeight w:val="263"/>
        </w:trPr>
        <w:tc>
          <w:tcPr>
            <w:tcW w:w="2111" w:type="dxa"/>
            <w:shd w:val="clear" w:color="auto" w:fill="1F4E79" w:themeFill="accent1" w:themeFillShade="80"/>
          </w:tcPr>
          <w:p w14:paraId="7F50141F"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tcPr>
          <w:p w14:paraId="3E20E006" w14:textId="7EA58C8E" w:rsidR="002A162A" w:rsidRPr="00B51D1F" w:rsidRDefault="00EA438D" w:rsidP="00975117">
            <w:pPr>
              <w:rPr>
                <w:rFonts w:ascii="Arial" w:hAnsi="Arial" w:cs="Arial"/>
              </w:rPr>
            </w:pPr>
            <w:r>
              <w:rPr>
                <w:rFonts w:ascii="Arial" w:hAnsi="Arial" w:cs="Arial"/>
              </w:rPr>
              <w:t>9.40</w:t>
            </w:r>
            <w:r w:rsidR="008A2177">
              <w:rPr>
                <w:rFonts w:ascii="Arial" w:hAnsi="Arial" w:cs="Arial"/>
              </w:rPr>
              <w:t>%</w:t>
            </w:r>
          </w:p>
        </w:tc>
      </w:tr>
      <w:tr w:rsidR="002A162A" w:rsidRPr="00B51D1F" w14:paraId="69A4198F" w14:textId="77777777" w:rsidTr="00956DEC">
        <w:trPr>
          <w:trHeight w:val="263"/>
        </w:trPr>
        <w:tc>
          <w:tcPr>
            <w:tcW w:w="2111" w:type="dxa"/>
            <w:shd w:val="clear" w:color="auto" w:fill="1F4E79" w:themeFill="accent1" w:themeFillShade="80"/>
          </w:tcPr>
          <w:p w14:paraId="262C77F5"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6704" w:type="dxa"/>
          </w:tcPr>
          <w:p w14:paraId="1302B345" w14:textId="6D4DC31D" w:rsidR="002A162A" w:rsidRPr="00B51D1F" w:rsidRDefault="00856FEC" w:rsidP="00975117">
            <w:pPr>
              <w:rPr>
                <w:rFonts w:ascii="Arial" w:hAnsi="Arial" w:cs="Arial"/>
              </w:rPr>
            </w:pPr>
            <w:r>
              <w:rPr>
                <w:rFonts w:ascii="Arial" w:hAnsi="Arial" w:cs="Arial"/>
              </w:rPr>
              <w:t>The Energy Project</w:t>
            </w:r>
          </w:p>
        </w:tc>
      </w:tr>
      <w:tr w:rsidR="002A162A" w:rsidRPr="00B51D1F" w14:paraId="4DBD3450" w14:textId="77777777" w:rsidTr="00956DEC">
        <w:trPr>
          <w:trHeight w:val="263"/>
        </w:trPr>
        <w:tc>
          <w:tcPr>
            <w:tcW w:w="8815" w:type="dxa"/>
            <w:gridSpan w:val="2"/>
            <w:shd w:val="clear" w:color="auto" w:fill="1F4E79" w:themeFill="accent1" w:themeFillShade="80"/>
          </w:tcPr>
          <w:p w14:paraId="57756554"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13FE9328" w14:textId="77777777" w:rsidTr="00956DEC">
        <w:trPr>
          <w:trHeight w:val="263"/>
        </w:trPr>
        <w:tc>
          <w:tcPr>
            <w:tcW w:w="8815" w:type="dxa"/>
            <w:gridSpan w:val="2"/>
            <w:shd w:val="clear" w:color="auto" w:fill="FFFFFF" w:themeFill="background1"/>
          </w:tcPr>
          <w:p w14:paraId="24C2EC83" w14:textId="5B59D3A5" w:rsidR="00956DEC" w:rsidRDefault="002014BE" w:rsidP="00EA438D">
            <w:pPr>
              <w:tabs>
                <w:tab w:val="left" w:pos="240"/>
                <w:tab w:val="center" w:pos="4839"/>
              </w:tabs>
              <w:rPr>
                <w:rFonts w:ascii="Arial" w:hAnsi="Arial" w:cs="Arial"/>
              </w:rPr>
            </w:pPr>
            <w:r w:rsidRPr="002014BE">
              <w:rPr>
                <w:rFonts w:ascii="Arial" w:hAnsi="Arial" w:cs="Arial"/>
              </w:rPr>
              <w:t xml:space="preserve">On </w:t>
            </w:r>
            <w:r>
              <w:rPr>
                <w:rFonts w:ascii="Arial" w:hAnsi="Arial" w:cs="Arial"/>
              </w:rPr>
              <w:t>April 30, 2019</w:t>
            </w:r>
            <w:r w:rsidRPr="002014BE">
              <w:rPr>
                <w:rFonts w:ascii="Arial" w:hAnsi="Arial" w:cs="Arial"/>
              </w:rPr>
              <w:t>, Avista requested a two-step gas rate increase. The $12.9 million gas rate increase detailed above reflects first-year rate increase and parameters proposed to become effective April 1, 2020. The company also seeks a second-step incremental increase of $6.5 million effective April 1, 2021. The second step increase was calculated utilizing revenue growth escalation factors.</w:t>
            </w:r>
            <w:r w:rsidRPr="002014BE">
              <w:rPr>
                <w:rFonts w:ascii="Arial" w:hAnsi="Arial" w:cs="Arial"/>
              </w:rPr>
              <w:br/>
            </w:r>
            <w:r w:rsidRPr="002014BE">
              <w:rPr>
                <w:rFonts w:ascii="Arial" w:hAnsi="Arial" w:cs="Arial"/>
              </w:rPr>
              <w:br/>
              <w:t xml:space="preserve">On </w:t>
            </w:r>
            <w:r>
              <w:rPr>
                <w:rFonts w:ascii="Arial" w:hAnsi="Arial" w:cs="Arial"/>
              </w:rPr>
              <w:t>October 3, 2019</w:t>
            </w:r>
            <w:r w:rsidRPr="002014BE">
              <w:rPr>
                <w:rFonts w:ascii="Arial" w:hAnsi="Arial" w:cs="Arial"/>
              </w:rPr>
              <w:t>, WUTC staff recommended a two-step gas rate increase. The $7.0 million gas rate increase detailed above reflects first-year rate increase and parameters proposed to become effective April 1, 2020. Staff also recommended a second-step incremental increase of $2.3 million effective April 1, 2021. The second step increase was calculated utilizing revenue growth escalation factors that do not include escalations of rate base.</w:t>
            </w:r>
            <w:r w:rsidRPr="002014BE">
              <w:rPr>
                <w:rFonts w:ascii="Arial" w:hAnsi="Arial" w:cs="Arial"/>
              </w:rPr>
              <w:br/>
            </w:r>
            <w:r w:rsidRPr="002014BE">
              <w:rPr>
                <w:rFonts w:ascii="Arial" w:hAnsi="Arial" w:cs="Arial"/>
              </w:rPr>
              <w:br/>
              <w:t xml:space="preserve">On </w:t>
            </w:r>
            <w:r>
              <w:rPr>
                <w:rFonts w:ascii="Arial" w:hAnsi="Arial" w:cs="Arial"/>
              </w:rPr>
              <w:t>November 21, 2019</w:t>
            </w:r>
            <w:r w:rsidRPr="002014BE">
              <w:rPr>
                <w:rFonts w:ascii="Arial" w:hAnsi="Arial" w:cs="Arial"/>
              </w:rPr>
              <w:t xml:space="preserve">, Avista and other parties filed a partial settlement specifying a one-step gas base rate increase of $8.0 million, effective April 1, 2020. The settlement did not specify a rate base. The settlement resolved all gas issues in the proceeding except for </w:t>
            </w:r>
            <w:proofErr w:type="spellStart"/>
            <w:r w:rsidRPr="002014BE">
              <w:rPr>
                <w:rFonts w:ascii="Arial" w:hAnsi="Arial" w:cs="Arial"/>
              </w:rPr>
              <w:t>Avista's</w:t>
            </w:r>
            <w:proofErr w:type="spellEnd"/>
            <w:r w:rsidRPr="002014BE">
              <w:rPr>
                <w:rFonts w:ascii="Arial" w:hAnsi="Arial" w:cs="Arial"/>
              </w:rPr>
              <w:t xml:space="preserve"> decoupling proposal. Additionally, the public counsel did not support the natural gas revenue requirement increase.</w:t>
            </w:r>
            <w:r w:rsidRPr="002014BE">
              <w:rPr>
                <w:rFonts w:ascii="Arial" w:hAnsi="Arial" w:cs="Arial"/>
              </w:rPr>
              <w:br/>
            </w:r>
            <w:r w:rsidRPr="002014BE">
              <w:rPr>
                <w:rFonts w:ascii="Arial" w:hAnsi="Arial" w:cs="Arial"/>
              </w:rPr>
              <w:br/>
              <w:t xml:space="preserve">On </w:t>
            </w:r>
            <w:r>
              <w:rPr>
                <w:rFonts w:ascii="Arial" w:hAnsi="Arial" w:cs="Arial"/>
              </w:rPr>
              <w:t>March 1, 2020</w:t>
            </w:r>
            <w:r w:rsidRPr="002014BE">
              <w:rPr>
                <w:rFonts w:ascii="Arial" w:hAnsi="Arial" w:cs="Arial"/>
              </w:rPr>
              <w:t xml:space="preserve">, the WUTC adopted the partial settlement. The WUTC also modified and authorized </w:t>
            </w:r>
            <w:proofErr w:type="spellStart"/>
            <w:r w:rsidRPr="002014BE">
              <w:rPr>
                <w:rFonts w:ascii="Arial" w:hAnsi="Arial" w:cs="Arial"/>
              </w:rPr>
              <w:t>Avista's</w:t>
            </w:r>
            <w:proofErr w:type="spellEnd"/>
            <w:r w:rsidRPr="002014BE">
              <w:rPr>
                <w:rFonts w:ascii="Arial" w:hAnsi="Arial" w:cs="Arial"/>
              </w:rPr>
              <w:t xml:space="preserve"> decoupling mechanisms to continue through March 31, 2025, with the requirement that a qualified third party evaluates the mechanisms' performance after the third year.</w:t>
            </w:r>
          </w:p>
          <w:p w14:paraId="1C225A41" w14:textId="77777777" w:rsidR="00956DEC" w:rsidRDefault="00956DEC" w:rsidP="00EA438D">
            <w:pPr>
              <w:tabs>
                <w:tab w:val="left" w:pos="240"/>
                <w:tab w:val="center" w:pos="4839"/>
              </w:tabs>
              <w:rPr>
                <w:rFonts w:ascii="Arial" w:hAnsi="Arial" w:cs="Arial"/>
              </w:rPr>
            </w:pPr>
          </w:p>
          <w:p w14:paraId="61D22ABB" w14:textId="77777777" w:rsidR="00711497" w:rsidRDefault="00711497" w:rsidP="00EA438D">
            <w:pPr>
              <w:tabs>
                <w:tab w:val="left" w:pos="240"/>
                <w:tab w:val="center" w:pos="4839"/>
              </w:tabs>
              <w:rPr>
                <w:rFonts w:ascii="Arial" w:hAnsi="Arial" w:cs="Arial"/>
              </w:rPr>
            </w:pPr>
          </w:p>
          <w:p w14:paraId="59BD5C99" w14:textId="77777777" w:rsidR="00711497" w:rsidRDefault="00711497" w:rsidP="00EA438D">
            <w:pPr>
              <w:tabs>
                <w:tab w:val="left" w:pos="240"/>
                <w:tab w:val="center" w:pos="4839"/>
              </w:tabs>
              <w:rPr>
                <w:rFonts w:ascii="Arial" w:hAnsi="Arial" w:cs="Arial"/>
              </w:rPr>
            </w:pPr>
          </w:p>
          <w:p w14:paraId="2DA14383" w14:textId="77777777" w:rsidR="00711497" w:rsidRDefault="00711497" w:rsidP="00EA438D">
            <w:pPr>
              <w:tabs>
                <w:tab w:val="left" w:pos="240"/>
                <w:tab w:val="center" w:pos="4839"/>
              </w:tabs>
              <w:rPr>
                <w:rFonts w:ascii="Arial" w:hAnsi="Arial" w:cs="Arial"/>
              </w:rPr>
            </w:pPr>
          </w:p>
          <w:p w14:paraId="236F439B" w14:textId="77777777" w:rsidR="00711497" w:rsidRDefault="00711497" w:rsidP="00EA438D">
            <w:pPr>
              <w:tabs>
                <w:tab w:val="left" w:pos="240"/>
                <w:tab w:val="center" w:pos="4839"/>
              </w:tabs>
              <w:rPr>
                <w:rFonts w:ascii="Arial" w:hAnsi="Arial" w:cs="Arial"/>
              </w:rPr>
            </w:pPr>
          </w:p>
          <w:p w14:paraId="4329C2CF" w14:textId="77777777" w:rsidR="00711497" w:rsidRDefault="00711497" w:rsidP="00EA438D">
            <w:pPr>
              <w:tabs>
                <w:tab w:val="left" w:pos="240"/>
                <w:tab w:val="center" w:pos="4839"/>
              </w:tabs>
              <w:rPr>
                <w:rFonts w:ascii="Arial" w:hAnsi="Arial" w:cs="Arial"/>
              </w:rPr>
            </w:pPr>
          </w:p>
          <w:p w14:paraId="4A35B0A7" w14:textId="77777777" w:rsidR="00711497" w:rsidRDefault="00711497" w:rsidP="00EA438D">
            <w:pPr>
              <w:tabs>
                <w:tab w:val="left" w:pos="240"/>
                <w:tab w:val="center" w:pos="4839"/>
              </w:tabs>
              <w:rPr>
                <w:rFonts w:ascii="Arial" w:hAnsi="Arial" w:cs="Arial"/>
              </w:rPr>
            </w:pPr>
          </w:p>
          <w:p w14:paraId="4BD2B893" w14:textId="77777777" w:rsidR="00711497" w:rsidRDefault="00711497" w:rsidP="00EA438D">
            <w:pPr>
              <w:tabs>
                <w:tab w:val="left" w:pos="240"/>
                <w:tab w:val="center" w:pos="4839"/>
              </w:tabs>
              <w:rPr>
                <w:rFonts w:ascii="Arial" w:hAnsi="Arial" w:cs="Arial"/>
              </w:rPr>
            </w:pPr>
          </w:p>
          <w:p w14:paraId="064FD2C0" w14:textId="77777777" w:rsidR="00711497" w:rsidRDefault="00711497" w:rsidP="00EA438D">
            <w:pPr>
              <w:tabs>
                <w:tab w:val="left" w:pos="240"/>
                <w:tab w:val="center" w:pos="4839"/>
              </w:tabs>
              <w:rPr>
                <w:rFonts w:ascii="Arial" w:hAnsi="Arial" w:cs="Arial"/>
              </w:rPr>
            </w:pPr>
          </w:p>
          <w:p w14:paraId="3370471F" w14:textId="77777777" w:rsidR="00711497" w:rsidRDefault="00711497" w:rsidP="00EA438D">
            <w:pPr>
              <w:tabs>
                <w:tab w:val="left" w:pos="240"/>
                <w:tab w:val="center" w:pos="4839"/>
              </w:tabs>
              <w:rPr>
                <w:rFonts w:ascii="Arial" w:hAnsi="Arial" w:cs="Arial"/>
              </w:rPr>
            </w:pPr>
          </w:p>
          <w:p w14:paraId="471578EE" w14:textId="77777777" w:rsidR="00711497" w:rsidRDefault="00711497" w:rsidP="00EA438D">
            <w:pPr>
              <w:tabs>
                <w:tab w:val="left" w:pos="240"/>
                <w:tab w:val="center" w:pos="4839"/>
              </w:tabs>
              <w:rPr>
                <w:rFonts w:ascii="Arial" w:hAnsi="Arial" w:cs="Arial"/>
              </w:rPr>
            </w:pPr>
          </w:p>
          <w:p w14:paraId="6324EC3A" w14:textId="77777777" w:rsidR="00711497" w:rsidRDefault="00711497" w:rsidP="00EA438D">
            <w:pPr>
              <w:tabs>
                <w:tab w:val="left" w:pos="240"/>
                <w:tab w:val="center" w:pos="4839"/>
              </w:tabs>
              <w:rPr>
                <w:rFonts w:ascii="Arial" w:hAnsi="Arial" w:cs="Arial"/>
              </w:rPr>
            </w:pPr>
          </w:p>
          <w:p w14:paraId="70C6C19D" w14:textId="1DCD2C30" w:rsidR="00711497" w:rsidRPr="00B51D1F" w:rsidRDefault="00711497" w:rsidP="00EA438D">
            <w:pPr>
              <w:tabs>
                <w:tab w:val="left" w:pos="240"/>
                <w:tab w:val="center" w:pos="4839"/>
              </w:tabs>
              <w:rPr>
                <w:rFonts w:ascii="Arial" w:hAnsi="Arial" w:cs="Arial"/>
              </w:rPr>
            </w:pPr>
          </w:p>
        </w:tc>
      </w:tr>
      <w:tr w:rsidR="002A162A" w:rsidRPr="000602A6" w14:paraId="0BD41A92" w14:textId="77777777" w:rsidTr="00956DEC">
        <w:trPr>
          <w:trHeight w:val="279"/>
        </w:trPr>
        <w:tc>
          <w:tcPr>
            <w:tcW w:w="8815" w:type="dxa"/>
            <w:gridSpan w:val="2"/>
            <w:shd w:val="clear" w:color="auto" w:fill="1F4E79" w:themeFill="accent1" w:themeFillShade="80"/>
          </w:tcPr>
          <w:p w14:paraId="28602765" w14:textId="3C6D7DF7" w:rsidR="002A162A" w:rsidRPr="000602A6" w:rsidRDefault="00153CE5" w:rsidP="00975117">
            <w:pPr>
              <w:jc w:val="center"/>
              <w:rPr>
                <w:rFonts w:ascii="Arial" w:hAnsi="Arial" w:cs="Arial"/>
                <w:b/>
                <w:color w:val="FFFFFF" w:themeColor="background1"/>
              </w:rPr>
            </w:pPr>
            <w:r>
              <w:rPr>
                <w:rFonts w:ascii="Arial" w:hAnsi="Arial" w:cs="Arial"/>
                <w:b/>
                <w:color w:val="FFFFFF" w:themeColor="background1"/>
              </w:rPr>
              <w:lastRenderedPageBreak/>
              <w:t>March 26, 2020</w:t>
            </w:r>
          </w:p>
        </w:tc>
      </w:tr>
      <w:tr w:rsidR="002A162A" w:rsidRPr="000602A6" w14:paraId="0ABA0E2E" w14:textId="77777777" w:rsidTr="00956DEC">
        <w:trPr>
          <w:trHeight w:val="279"/>
        </w:trPr>
        <w:tc>
          <w:tcPr>
            <w:tcW w:w="2111" w:type="dxa"/>
            <w:shd w:val="clear" w:color="auto" w:fill="1F4E79" w:themeFill="accent1" w:themeFillShade="80"/>
          </w:tcPr>
          <w:p w14:paraId="630C1473"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Company</w:t>
            </w:r>
          </w:p>
        </w:tc>
        <w:tc>
          <w:tcPr>
            <w:tcW w:w="6704" w:type="dxa"/>
          </w:tcPr>
          <w:p w14:paraId="61796F92" w14:textId="0F24B432" w:rsidR="002A162A" w:rsidRPr="000602A6" w:rsidRDefault="00934940" w:rsidP="00975117">
            <w:pPr>
              <w:rPr>
                <w:rFonts w:ascii="Arial" w:hAnsi="Arial" w:cs="Arial"/>
              </w:rPr>
            </w:pPr>
            <w:r>
              <w:rPr>
                <w:rFonts w:ascii="Arial" w:hAnsi="Arial" w:cs="Arial"/>
              </w:rPr>
              <w:t>Northern Utilities, Inc.</w:t>
            </w:r>
          </w:p>
        </w:tc>
      </w:tr>
      <w:tr w:rsidR="002A162A" w:rsidRPr="00B51D1F" w14:paraId="704B89CE" w14:textId="77777777" w:rsidTr="00956DEC">
        <w:trPr>
          <w:trHeight w:val="279"/>
        </w:trPr>
        <w:tc>
          <w:tcPr>
            <w:tcW w:w="2111" w:type="dxa"/>
            <w:shd w:val="clear" w:color="auto" w:fill="1F4E79" w:themeFill="accent1" w:themeFillShade="80"/>
          </w:tcPr>
          <w:p w14:paraId="1EBEC1E5"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State</w:t>
            </w:r>
          </w:p>
        </w:tc>
        <w:tc>
          <w:tcPr>
            <w:tcW w:w="6704" w:type="dxa"/>
          </w:tcPr>
          <w:p w14:paraId="17213719" w14:textId="654B2A57" w:rsidR="002A162A" w:rsidRPr="00B51D1F" w:rsidRDefault="00934940" w:rsidP="00975117">
            <w:pPr>
              <w:rPr>
                <w:rFonts w:ascii="Arial" w:hAnsi="Arial" w:cs="Arial"/>
              </w:rPr>
            </w:pPr>
            <w:r>
              <w:rPr>
                <w:rFonts w:ascii="Arial" w:hAnsi="Arial" w:cs="Arial"/>
              </w:rPr>
              <w:t>Maine</w:t>
            </w:r>
          </w:p>
        </w:tc>
      </w:tr>
      <w:tr w:rsidR="002A162A" w:rsidRPr="00B51D1F" w14:paraId="518013B5" w14:textId="77777777" w:rsidTr="00956DEC">
        <w:trPr>
          <w:trHeight w:val="263"/>
        </w:trPr>
        <w:tc>
          <w:tcPr>
            <w:tcW w:w="2111" w:type="dxa"/>
            <w:shd w:val="clear" w:color="auto" w:fill="1F4E79" w:themeFill="accent1" w:themeFillShade="80"/>
          </w:tcPr>
          <w:p w14:paraId="1CF287DE"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Docket Number</w:t>
            </w:r>
          </w:p>
        </w:tc>
        <w:tc>
          <w:tcPr>
            <w:tcW w:w="6704" w:type="dxa"/>
          </w:tcPr>
          <w:p w14:paraId="1F531602" w14:textId="67CF5A51" w:rsidR="002A162A" w:rsidRPr="00B51D1F" w:rsidRDefault="0009189A" w:rsidP="00975117">
            <w:pPr>
              <w:rPr>
                <w:rFonts w:ascii="Arial" w:hAnsi="Arial" w:cs="Arial"/>
                <w:color w:val="0000FF"/>
                <w:u w:val="single"/>
              </w:rPr>
            </w:pPr>
            <w:hyperlink r:id="rId23" w:history="1">
              <w:r w:rsidR="003959CA" w:rsidRPr="00831CE1">
                <w:rPr>
                  <w:rStyle w:val="Hyperlink"/>
                  <w:rFonts w:ascii="Arial" w:hAnsi="Arial" w:cs="Arial"/>
                </w:rPr>
                <w:t>D-2019-00092</w:t>
              </w:r>
            </w:hyperlink>
          </w:p>
        </w:tc>
      </w:tr>
      <w:tr w:rsidR="002A162A" w:rsidRPr="00416BC2" w14:paraId="13AFBCD0" w14:textId="77777777" w:rsidTr="00956DEC">
        <w:trPr>
          <w:trHeight w:val="279"/>
        </w:trPr>
        <w:tc>
          <w:tcPr>
            <w:tcW w:w="2111" w:type="dxa"/>
            <w:shd w:val="clear" w:color="auto" w:fill="1F4E79" w:themeFill="accent1" w:themeFillShade="80"/>
          </w:tcPr>
          <w:p w14:paraId="3980DD72"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Increase</w:t>
            </w:r>
          </w:p>
        </w:tc>
        <w:tc>
          <w:tcPr>
            <w:tcW w:w="6704" w:type="dxa"/>
          </w:tcPr>
          <w:p w14:paraId="1FBC3E53" w14:textId="6D9D2277" w:rsidR="002A162A" w:rsidRPr="00416BC2" w:rsidRDefault="00DB52B9" w:rsidP="00975117">
            <w:pPr>
              <w:rPr>
                <w:rFonts w:ascii="Arial" w:hAnsi="Arial" w:cs="Arial"/>
              </w:rPr>
            </w:pPr>
            <w:r>
              <w:rPr>
                <w:rFonts w:ascii="Arial" w:hAnsi="Arial" w:cs="Arial"/>
              </w:rPr>
              <w:t>$</w:t>
            </w:r>
            <w:r w:rsidR="00E576A3">
              <w:rPr>
                <w:rFonts w:ascii="Arial" w:hAnsi="Arial" w:cs="Arial"/>
              </w:rPr>
              <w:t>3,605,412</w:t>
            </w:r>
          </w:p>
        </w:tc>
      </w:tr>
      <w:tr w:rsidR="002A162A" w:rsidRPr="00B51D1F" w14:paraId="1D2487A8" w14:textId="77777777" w:rsidTr="00956DEC">
        <w:trPr>
          <w:trHeight w:val="263"/>
        </w:trPr>
        <w:tc>
          <w:tcPr>
            <w:tcW w:w="2111" w:type="dxa"/>
            <w:shd w:val="clear" w:color="auto" w:fill="1F4E79" w:themeFill="accent1" w:themeFillShade="80"/>
          </w:tcPr>
          <w:p w14:paraId="57EB360D" w14:textId="77777777" w:rsidR="002A162A" w:rsidRPr="00B51D1F" w:rsidRDefault="002A162A" w:rsidP="00975117">
            <w:pPr>
              <w:rPr>
                <w:rFonts w:ascii="Arial" w:hAnsi="Arial" w:cs="Arial"/>
                <w:b/>
                <w:color w:val="FFFFFF" w:themeColor="background1"/>
              </w:rPr>
            </w:pPr>
            <w:r w:rsidRPr="00B51D1F">
              <w:rPr>
                <w:rFonts w:ascii="Arial" w:hAnsi="Arial" w:cs="Arial"/>
                <w:b/>
                <w:color w:val="FFFFFF" w:themeColor="background1"/>
              </w:rPr>
              <w:t>Approved ROE</w:t>
            </w:r>
          </w:p>
        </w:tc>
        <w:tc>
          <w:tcPr>
            <w:tcW w:w="6704" w:type="dxa"/>
          </w:tcPr>
          <w:p w14:paraId="75857D4A" w14:textId="14426AF5" w:rsidR="002A162A" w:rsidRPr="00B51D1F" w:rsidRDefault="00E576A3" w:rsidP="00975117">
            <w:pPr>
              <w:rPr>
                <w:rFonts w:ascii="Arial" w:hAnsi="Arial" w:cs="Arial"/>
              </w:rPr>
            </w:pPr>
            <w:r>
              <w:rPr>
                <w:rFonts w:ascii="Arial" w:hAnsi="Arial" w:cs="Arial"/>
              </w:rPr>
              <w:t>9.48</w:t>
            </w:r>
            <w:r w:rsidR="008A2177">
              <w:rPr>
                <w:rFonts w:ascii="Arial" w:hAnsi="Arial" w:cs="Arial"/>
              </w:rPr>
              <w:t>%</w:t>
            </w:r>
          </w:p>
        </w:tc>
      </w:tr>
      <w:tr w:rsidR="002A162A" w:rsidRPr="00B51D1F" w14:paraId="53329082" w14:textId="77777777" w:rsidTr="00956DEC">
        <w:trPr>
          <w:trHeight w:val="263"/>
        </w:trPr>
        <w:tc>
          <w:tcPr>
            <w:tcW w:w="2111" w:type="dxa"/>
            <w:shd w:val="clear" w:color="auto" w:fill="1F4E79" w:themeFill="accent1" w:themeFillShade="80"/>
          </w:tcPr>
          <w:p w14:paraId="1D74F09B" w14:textId="77777777" w:rsidR="002A162A" w:rsidRPr="00B51D1F" w:rsidRDefault="002A162A" w:rsidP="00975117">
            <w:pPr>
              <w:rPr>
                <w:rFonts w:ascii="Arial" w:hAnsi="Arial" w:cs="Arial"/>
                <w:b/>
                <w:color w:val="FFFFFF" w:themeColor="background1"/>
              </w:rPr>
            </w:pPr>
            <w:r>
              <w:rPr>
                <w:rFonts w:ascii="Arial" w:hAnsi="Arial" w:cs="Arial"/>
                <w:b/>
                <w:color w:val="FFFFFF" w:themeColor="background1"/>
              </w:rPr>
              <w:t>Intervenors</w:t>
            </w:r>
          </w:p>
        </w:tc>
        <w:tc>
          <w:tcPr>
            <w:tcW w:w="6704" w:type="dxa"/>
          </w:tcPr>
          <w:p w14:paraId="2A3F231B" w14:textId="17ACBCA0" w:rsidR="002A162A" w:rsidRPr="00B51D1F" w:rsidRDefault="00465DEF" w:rsidP="00975117">
            <w:pPr>
              <w:rPr>
                <w:rFonts w:ascii="Arial" w:hAnsi="Arial" w:cs="Arial"/>
              </w:rPr>
            </w:pPr>
            <w:r>
              <w:rPr>
                <w:rFonts w:ascii="Arial" w:hAnsi="Arial" w:cs="Arial"/>
              </w:rPr>
              <w:t>Office of the Public Advocate</w:t>
            </w:r>
          </w:p>
        </w:tc>
      </w:tr>
      <w:tr w:rsidR="002A162A" w:rsidRPr="00B51D1F" w14:paraId="5B8316EC" w14:textId="77777777" w:rsidTr="00956DEC">
        <w:trPr>
          <w:trHeight w:val="263"/>
        </w:trPr>
        <w:tc>
          <w:tcPr>
            <w:tcW w:w="8815" w:type="dxa"/>
            <w:gridSpan w:val="2"/>
            <w:shd w:val="clear" w:color="auto" w:fill="1F4E79" w:themeFill="accent1" w:themeFillShade="80"/>
          </w:tcPr>
          <w:p w14:paraId="55DEB2ED" w14:textId="77777777" w:rsidR="002A162A" w:rsidRPr="00B51D1F" w:rsidRDefault="002A162A" w:rsidP="00975117">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2A162A" w:rsidRPr="00B51D1F" w14:paraId="5761FCB7" w14:textId="77777777" w:rsidTr="00956DEC">
        <w:trPr>
          <w:trHeight w:val="263"/>
        </w:trPr>
        <w:tc>
          <w:tcPr>
            <w:tcW w:w="8815" w:type="dxa"/>
            <w:gridSpan w:val="2"/>
            <w:shd w:val="clear" w:color="auto" w:fill="FFFFFF" w:themeFill="background1"/>
          </w:tcPr>
          <w:p w14:paraId="13625618" w14:textId="372BC088" w:rsidR="001A6B3C" w:rsidRDefault="0003198E" w:rsidP="001A6B3C">
            <w:pPr>
              <w:tabs>
                <w:tab w:val="left" w:pos="240"/>
                <w:tab w:val="center" w:pos="4839"/>
              </w:tabs>
              <w:rPr>
                <w:rFonts w:ascii="Arial" w:hAnsi="Arial" w:cs="Arial"/>
              </w:rPr>
            </w:pPr>
            <w:r w:rsidRPr="0003198E">
              <w:rPr>
                <w:rFonts w:ascii="Arial" w:hAnsi="Arial" w:cs="Arial"/>
              </w:rPr>
              <w:t>In deliberations held on March 24, 2020, the PUC voted to autho</w:t>
            </w:r>
            <w:r w:rsidR="00AF34E8">
              <w:rPr>
                <w:rFonts w:ascii="Arial" w:hAnsi="Arial" w:cs="Arial"/>
              </w:rPr>
              <w:t>ri</w:t>
            </w:r>
            <w:r w:rsidRPr="0003198E">
              <w:rPr>
                <w:rFonts w:ascii="Arial" w:hAnsi="Arial" w:cs="Arial"/>
              </w:rPr>
              <w:t>ze Northern Utilities a 9.48% return on equity in conjunction with a 50% equity hypothetical capital structure,</w:t>
            </w:r>
          </w:p>
          <w:p w14:paraId="19F7ED94" w14:textId="4C6680A7" w:rsidR="0003198E" w:rsidRPr="00B51D1F" w:rsidRDefault="0003198E" w:rsidP="001A6B3C">
            <w:pPr>
              <w:tabs>
                <w:tab w:val="left" w:pos="240"/>
                <w:tab w:val="center" w:pos="4839"/>
              </w:tabs>
              <w:rPr>
                <w:rFonts w:ascii="Arial" w:hAnsi="Arial" w:cs="Arial"/>
              </w:rPr>
            </w:pPr>
          </w:p>
        </w:tc>
      </w:tr>
    </w:tbl>
    <w:p w14:paraId="74C76062" w14:textId="77777777" w:rsidR="00CD5878" w:rsidRDefault="00CD5878" w:rsidP="009965F4">
      <w:pPr>
        <w:rPr>
          <w:rFonts w:ascii="Arial" w:hAnsi="Arial" w:cs="Arial"/>
          <w:i/>
          <w:iCs/>
          <w:color w:val="000000"/>
          <w:sz w:val="18"/>
          <w:szCs w:val="18"/>
        </w:rPr>
      </w:pPr>
    </w:p>
    <w:p w14:paraId="1FC97D73" w14:textId="77777777" w:rsidR="00DB1A39" w:rsidRPr="00B51D1F" w:rsidRDefault="00DB1A39" w:rsidP="009965F4">
      <w:pPr>
        <w:rPr>
          <w:rFonts w:ascii="Arial" w:hAnsi="Arial" w:cs="Arial"/>
        </w:rPr>
      </w:pPr>
      <w:r w:rsidRPr="00B51D1F">
        <w:rPr>
          <w:rFonts w:ascii="Arial" w:hAnsi="Arial" w:cs="Arial"/>
          <w:i/>
          <w:iCs/>
          <w:color w:val="000000"/>
          <w:sz w:val="18"/>
          <w:szCs w:val="18"/>
        </w:rPr>
        <w:t>This document has been prepared by the American Gas Association for members. In issuing and making this publication available, AGA is not undertaking to render professional or other services for or on behalf of any person or entity. Nor is AGA undertaking to perform any duty owed by any person or entity to someone else. The statements in this publication are for general information only and it does not provide a legal opinion or legal advice for any purpose. Information on the topics covered by this publication may be available from other sources, which the user may wish to consult for additional views or information not covered by this publication. © Copyright 201</w:t>
      </w:r>
      <w:r w:rsidR="00963890">
        <w:rPr>
          <w:rFonts w:ascii="Arial" w:hAnsi="Arial" w:cs="Arial"/>
          <w:i/>
          <w:iCs/>
          <w:color w:val="000000"/>
          <w:sz w:val="18"/>
          <w:szCs w:val="18"/>
        </w:rPr>
        <w:t>9</w:t>
      </w:r>
      <w:r w:rsidR="00CC364C" w:rsidRPr="00B51D1F">
        <w:rPr>
          <w:rFonts w:ascii="Arial" w:hAnsi="Arial" w:cs="Arial"/>
          <w:i/>
          <w:iCs/>
          <w:color w:val="000000"/>
          <w:sz w:val="18"/>
          <w:szCs w:val="18"/>
        </w:rPr>
        <w:t xml:space="preserve"> </w:t>
      </w:r>
      <w:r w:rsidRPr="00B51D1F">
        <w:rPr>
          <w:rFonts w:ascii="Arial" w:hAnsi="Arial" w:cs="Arial"/>
          <w:i/>
          <w:iCs/>
          <w:color w:val="000000"/>
          <w:sz w:val="18"/>
          <w:szCs w:val="18"/>
        </w:rPr>
        <w:t xml:space="preserve">American Gas Association. All Rights Reserved. </w:t>
      </w:r>
      <w:hyperlink r:id="rId24" w:history="1">
        <w:r w:rsidRPr="00B51D1F">
          <w:rPr>
            <w:rStyle w:val="Hyperlink"/>
            <w:rFonts w:ascii="Arial" w:hAnsi="Arial" w:cs="Arial"/>
            <w:i/>
            <w:iCs/>
            <w:sz w:val="18"/>
            <w:szCs w:val="18"/>
          </w:rPr>
          <w:t>www.aga.org</w:t>
        </w:r>
      </w:hyperlink>
    </w:p>
    <w:sectPr w:rsidR="00DB1A39" w:rsidRPr="00B51D1F">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1FFFA" w14:textId="77777777" w:rsidR="000469B0" w:rsidRDefault="000469B0" w:rsidP="00DE7014">
      <w:pPr>
        <w:spacing w:after="0" w:line="240" w:lineRule="auto"/>
      </w:pPr>
      <w:r>
        <w:separator/>
      </w:r>
    </w:p>
  </w:endnote>
  <w:endnote w:type="continuationSeparator" w:id="0">
    <w:p w14:paraId="592628A5" w14:textId="77777777" w:rsidR="000469B0" w:rsidRDefault="000469B0" w:rsidP="00DE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937707"/>
      <w:docPartObj>
        <w:docPartGallery w:val="Page Numbers (Bottom of Page)"/>
        <w:docPartUnique/>
      </w:docPartObj>
    </w:sdtPr>
    <w:sdtEndPr>
      <w:rPr>
        <w:noProof/>
      </w:rPr>
    </w:sdtEndPr>
    <w:sdtContent>
      <w:p w14:paraId="1B02CE8D" w14:textId="77777777" w:rsidR="00F103A3" w:rsidRDefault="00F103A3">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55BABEEE" w14:textId="77777777" w:rsidR="00F103A3" w:rsidRDefault="00F10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CE81C" w14:textId="77777777" w:rsidR="000469B0" w:rsidRDefault="000469B0" w:rsidP="00DE7014">
      <w:pPr>
        <w:spacing w:after="0" w:line="240" w:lineRule="auto"/>
      </w:pPr>
      <w:r>
        <w:separator/>
      </w:r>
    </w:p>
  </w:footnote>
  <w:footnote w:type="continuationSeparator" w:id="0">
    <w:p w14:paraId="7FBD04EF" w14:textId="77777777" w:rsidR="000469B0" w:rsidRDefault="000469B0" w:rsidP="00DE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7396" w14:textId="77777777" w:rsidR="00F103A3" w:rsidRDefault="00F103A3">
    <w:pPr>
      <w:pStyle w:val="Header"/>
    </w:pPr>
    <w:r>
      <w:rPr>
        <w:noProof/>
      </w:rPr>
      <mc:AlternateContent>
        <mc:Choice Requires="wps">
          <w:drawing>
            <wp:anchor distT="0" distB="0" distL="114300" distR="114300" simplePos="0" relativeHeight="251661312" behindDoc="0" locked="0" layoutInCell="1" allowOverlap="1" wp14:anchorId="6833FFEA" wp14:editId="2DEDB556">
              <wp:simplePos x="0" y="0"/>
              <wp:positionH relativeFrom="column">
                <wp:posOffset>-533400</wp:posOffset>
              </wp:positionH>
              <wp:positionV relativeFrom="paragraph">
                <wp:posOffset>0</wp:posOffset>
              </wp:positionV>
              <wp:extent cx="6858000" cy="8667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8667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296A3B3" w14:textId="1C5D290D" w:rsidR="00F103A3" w:rsidRPr="006C3E85" w:rsidRDefault="00F41AE2" w:rsidP="006C3E85">
                          <w:pPr>
                            <w:rPr>
                              <w:rFonts w:ascii="Arial" w:hAnsi="Arial"/>
                              <w:b/>
                              <w:color w:val="FFFFFF" w:themeColor="background1"/>
                              <w:sz w:val="20"/>
                              <w:szCs w:val="20"/>
                            </w:rPr>
                          </w:pPr>
                          <w:r>
                            <w:rPr>
                              <w:rFonts w:ascii="Arial" w:hAnsi="Arial"/>
                              <w:b/>
                              <w:color w:val="FFFFFF" w:themeColor="background1"/>
                              <w:sz w:val="20"/>
                              <w:szCs w:val="20"/>
                            </w:rPr>
                            <w:t>January 1</w:t>
                          </w:r>
                          <w:r w:rsidR="00F103A3">
                            <w:rPr>
                              <w:rFonts w:ascii="Arial" w:hAnsi="Arial"/>
                              <w:b/>
                              <w:color w:val="FFFFFF" w:themeColor="background1"/>
                              <w:sz w:val="20"/>
                              <w:szCs w:val="20"/>
                            </w:rPr>
                            <w:t xml:space="preserve"> through </w:t>
                          </w:r>
                          <w:r w:rsidR="008750B3">
                            <w:rPr>
                              <w:rFonts w:ascii="Arial" w:hAnsi="Arial"/>
                              <w:b/>
                              <w:color w:val="FFFFFF" w:themeColor="background1"/>
                              <w:sz w:val="20"/>
                              <w:szCs w:val="20"/>
                            </w:rPr>
                            <w:t>March 31, 2020</w:t>
                          </w:r>
                        </w:p>
                        <w:p w14:paraId="5812C751" w14:textId="77777777" w:rsidR="00F103A3" w:rsidRPr="004D11A5" w:rsidRDefault="00F103A3" w:rsidP="006C3E85">
                          <w:pPr>
                            <w:rPr>
                              <w:rFonts w:ascii="Arial" w:hAnsi="Arial"/>
                              <w:b/>
                              <w:color w:val="A7D036"/>
                              <w:sz w:val="56"/>
                              <w:szCs w:val="56"/>
                            </w:rPr>
                          </w:pPr>
                          <w:r>
                            <w:rPr>
                              <w:rFonts w:ascii="Arial" w:hAnsi="Arial"/>
                              <w:b/>
                              <w:color w:val="A7D036"/>
                              <w:sz w:val="56"/>
                              <w:szCs w:val="56"/>
                            </w:rPr>
                            <w:t>Rate &amp; Regulatory Update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3FFEA" id="_x0000_t202" coordsize="21600,21600" o:spt="202" path="m,l,21600r21600,l21600,xe">
              <v:stroke joinstyle="miter"/>
              <v:path gradientshapeok="t" o:connecttype="rect"/>
            </v:shapetype>
            <v:shape id="Text Box 5" o:spid="_x0000_s1026" type="#_x0000_t202" style="position:absolute;margin-left:-42pt;margin-top:0;width:540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" filled="f" stroked="f">
              <v:textbox>
                <w:txbxContent>
                  <w:p w14:paraId="3296A3B3" w14:textId="1C5D290D" w:rsidR="00F103A3" w:rsidRPr="006C3E85" w:rsidRDefault="00F41AE2" w:rsidP="006C3E85">
                    <w:pPr>
                      <w:rPr>
                        <w:rFonts w:ascii="Arial" w:hAnsi="Arial"/>
                        <w:b/>
                        <w:color w:val="FFFFFF" w:themeColor="background1"/>
                        <w:sz w:val="20"/>
                        <w:szCs w:val="20"/>
                      </w:rPr>
                    </w:pPr>
                    <w:r>
                      <w:rPr>
                        <w:rFonts w:ascii="Arial" w:hAnsi="Arial"/>
                        <w:b/>
                        <w:color w:val="FFFFFF" w:themeColor="background1"/>
                        <w:sz w:val="20"/>
                        <w:szCs w:val="20"/>
                      </w:rPr>
                      <w:t>January 1</w:t>
                    </w:r>
                    <w:r w:rsidR="00F103A3">
                      <w:rPr>
                        <w:rFonts w:ascii="Arial" w:hAnsi="Arial"/>
                        <w:b/>
                        <w:color w:val="FFFFFF" w:themeColor="background1"/>
                        <w:sz w:val="20"/>
                        <w:szCs w:val="20"/>
                      </w:rPr>
                      <w:t xml:space="preserve"> through </w:t>
                    </w:r>
                    <w:r w:rsidR="008750B3">
                      <w:rPr>
                        <w:rFonts w:ascii="Arial" w:hAnsi="Arial"/>
                        <w:b/>
                        <w:color w:val="FFFFFF" w:themeColor="background1"/>
                        <w:sz w:val="20"/>
                        <w:szCs w:val="20"/>
                      </w:rPr>
                      <w:t>March 31, 2020</w:t>
                    </w:r>
                  </w:p>
                  <w:p w14:paraId="5812C751" w14:textId="77777777" w:rsidR="00F103A3" w:rsidRPr="004D11A5" w:rsidRDefault="00F103A3" w:rsidP="006C3E85">
                    <w:pPr>
                      <w:rPr>
                        <w:rFonts w:ascii="Arial" w:hAnsi="Arial"/>
                        <w:b/>
                        <w:color w:val="A7D036"/>
                        <w:sz w:val="56"/>
                        <w:szCs w:val="56"/>
                      </w:rPr>
                    </w:pPr>
                    <w:r>
                      <w:rPr>
                        <w:rFonts w:ascii="Arial" w:hAnsi="Arial"/>
                        <w:b/>
                        <w:color w:val="A7D036"/>
                        <w:sz w:val="56"/>
                        <w:szCs w:val="56"/>
                      </w:rPr>
                      <w:t>Rate &amp; Regulatory Update</w:t>
                    </w:r>
                  </w:p>
                </w:txbxContent>
              </v:textbox>
            </v:shape>
          </w:pict>
        </mc:Fallback>
      </mc:AlternateContent>
    </w:r>
    <w:r w:rsidRPr="00DE7014">
      <w:rPr>
        <w:rFonts w:ascii="Calibri" w:eastAsia="Times New Roman" w:hAnsi="Calibri" w:cs="Times New Roman" w:hint="eastAsia"/>
        <w:noProof/>
        <w:szCs w:val="24"/>
      </w:rPr>
      <w:drawing>
        <wp:anchor distT="0" distB="0" distL="114300" distR="114300" simplePos="0" relativeHeight="251659264" behindDoc="0" locked="0" layoutInCell="1" allowOverlap="1" wp14:anchorId="13526B5A" wp14:editId="5BED1DA1">
          <wp:simplePos x="0" y="0"/>
          <wp:positionH relativeFrom="page">
            <wp:align>right</wp:align>
          </wp:positionH>
          <wp:positionV relativeFrom="page">
            <wp:align>top</wp:align>
          </wp:positionV>
          <wp:extent cx="7771130" cy="153670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 E Header Art.jpg"/>
                  <pic:cNvPicPr/>
                </pic:nvPicPr>
                <pic:blipFill rotWithShape="1">
                  <a:blip r:embed="rId1" cstate="print">
                    <a:extLst>
                      <a:ext uri="{28A0092B-C50C-407E-A947-70E740481C1C}">
                        <a14:useLocalDpi xmlns:a14="http://schemas.microsoft.com/office/drawing/2010/main" val="0"/>
                      </a:ext>
                    </a:extLst>
                  </a:blip>
                  <a:srcRect b="36815"/>
                  <a:stretch/>
                </pic:blipFill>
                <pic:spPr bwMode="auto">
                  <a:xfrm>
                    <a:off x="0" y="0"/>
                    <a:ext cx="7771130" cy="15367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78D"/>
    <w:multiLevelType w:val="hybridMultilevel"/>
    <w:tmpl w:val="3C54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6AA0"/>
    <w:multiLevelType w:val="hybridMultilevel"/>
    <w:tmpl w:val="7080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13F"/>
    <w:multiLevelType w:val="hybridMultilevel"/>
    <w:tmpl w:val="36C0E3A6"/>
    <w:lvl w:ilvl="0" w:tplc="5470E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62FA7"/>
    <w:multiLevelType w:val="hybridMultilevel"/>
    <w:tmpl w:val="64BC2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039D9"/>
    <w:multiLevelType w:val="hybridMultilevel"/>
    <w:tmpl w:val="7FFEB48E"/>
    <w:lvl w:ilvl="0" w:tplc="D7E87C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A1A"/>
    <w:multiLevelType w:val="hybridMultilevel"/>
    <w:tmpl w:val="EC30B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A33D1"/>
    <w:multiLevelType w:val="hybridMultilevel"/>
    <w:tmpl w:val="A6966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61198"/>
    <w:multiLevelType w:val="hybridMultilevel"/>
    <w:tmpl w:val="5A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9384B"/>
    <w:multiLevelType w:val="hybridMultilevel"/>
    <w:tmpl w:val="E0E8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A57C6"/>
    <w:multiLevelType w:val="hybridMultilevel"/>
    <w:tmpl w:val="6BB6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31F86"/>
    <w:multiLevelType w:val="hybridMultilevel"/>
    <w:tmpl w:val="AF68B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C6FBB"/>
    <w:multiLevelType w:val="hybridMultilevel"/>
    <w:tmpl w:val="2EA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61B61"/>
    <w:multiLevelType w:val="hybridMultilevel"/>
    <w:tmpl w:val="0DCE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D3588"/>
    <w:multiLevelType w:val="hybridMultilevel"/>
    <w:tmpl w:val="CE1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C2F47"/>
    <w:multiLevelType w:val="hybridMultilevel"/>
    <w:tmpl w:val="F0C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844DD"/>
    <w:multiLevelType w:val="hybridMultilevel"/>
    <w:tmpl w:val="0B9E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40724"/>
    <w:multiLevelType w:val="hybridMultilevel"/>
    <w:tmpl w:val="38D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A6254"/>
    <w:multiLevelType w:val="hybridMultilevel"/>
    <w:tmpl w:val="F296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B66DF"/>
    <w:multiLevelType w:val="hybridMultilevel"/>
    <w:tmpl w:val="51884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D73B5"/>
    <w:multiLevelType w:val="hybridMultilevel"/>
    <w:tmpl w:val="849A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073F7"/>
    <w:multiLevelType w:val="hybridMultilevel"/>
    <w:tmpl w:val="40E4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9"/>
  </w:num>
  <w:num w:numId="5">
    <w:abstractNumId w:val="16"/>
  </w:num>
  <w:num w:numId="6">
    <w:abstractNumId w:val="5"/>
  </w:num>
  <w:num w:numId="7">
    <w:abstractNumId w:val="15"/>
  </w:num>
  <w:num w:numId="8">
    <w:abstractNumId w:val="0"/>
  </w:num>
  <w:num w:numId="9">
    <w:abstractNumId w:val="10"/>
  </w:num>
  <w:num w:numId="10">
    <w:abstractNumId w:val="18"/>
  </w:num>
  <w:num w:numId="11">
    <w:abstractNumId w:val="7"/>
  </w:num>
  <w:num w:numId="12">
    <w:abstractNumId w:val="20"/>
  </w:num>
  <w:num w:numId="13">
    <w:abstractNumId w:val="2"/>
  </w:num>
  <w:num w:numId="14">
    <w:abstractNumId w:val="11"/>
  </w:num>
  <w:num w:numId="15">
    <w:abstractNumId w:val="14"/>
  </w:num>
  <w:num w:numId="16">
    <w:abstractNumId w:val="17"/>
  </w:num>
  <w:num w:numId="17">
    <w:abstractNumId w:val="1"/>
  </w:num>
  <w:num w:numId="18">
    <w:abstractNumId w:val="12"/>
  </w:num>
  <w:num w:numId="19">
    <w:abstractNumId w:val="9"/>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szS0NLc0NDcytjRS0lEKTi0uzszPAykwrAUAHkRCHCwAAAA="/>
  </w:docVars>
  <w:rsids>
    <w:rsidRoot w:val="00907E26"/>
    <w:rsid w:val="0000016B"/>
    <w:rsid w:val="0000069D"/>
    <w:rsid w:val="00000717"/>
    <w:rsid w:val="00003004"/>
    <w:rsid w:val="000042AD"/>
    <w:rsid w:val="00005816"/>
    <w:rsid w:val="000064CB"/>
    <w:rsid w:val="00007856"/>
    <w:rsid w:val="00012F7E"/>
    <w:rsid w:val="0001500C"/>
    <w:rsid w:val="00015130"/>
    <w:rsid w:val="0001526D"/>
    <w:rsid w:val="00015860"/>
    <w:rsid w:val="00015C47"/>
    <w:rsid w:val="00016F42"/>
    <w:rsid w:val="000171AA"/>
    <w:rsid w:val="00017ABD"/>
    <w:rsid w:val="00017AEE"/>
    <w:rsid w:val="00017DBA"/>
    <w:rsid w:val="0002025B"/>
    <w:rsid w:val="00021C00"/>
    <w:rsid w:val="000229CD"/>
    <w:rsid w:val="0002613F"/>
    <w:rsid w:val="00026D35"/>
    <w:rsid w:val="00026DF4"/>
    <w:rsid w:val="00026F05"/>
    <w:rsid w:val="00026FE2"/>
    <w:rsid w:val="0003040F"/>
    <w:rsid w:val="00031445"/>
    <w:rsid w:val="0003198E"/>
    <w:rsid w:val="00031A98"/>
    <w:rsid w:val="00032FB5"/>
    <w:rsid w:val="00033B34"/>
    <w:rsid w:val="00033C66"/>
    <w:rsid w:val="00034F1B"/>
    <w:rsid w:val="000356D2"/>
    <w:rsid w:val="000377CE"/>
    <w:rsid w:val="00041FBC"/>
    <w:rsid w:val="0004230B"/>
    <w:rsid w:val="0004288F"/>
    <w:rsid w:val="00044561"/>
    <w:rsid w:val="00044D74"/>
    <w:rsid w:val="000450AC"/>
    <w:rsid w:val="0004674C"/>
    <w:rsid w:val="000469B0"/>
    <w:rsid w:val="00050DF9"/>
    <w:rsid w:val="0005176A"/>
    <w:rsid w:val="0005197B"/>
    <w:rsid w:val="00051F1F"/>
    <w:rsid w:val="00055B13"/>
    <w:rsid w:val="000602A6"/>
    <w:rsid w:val="00063A04"/>
    <w:rsid w:val="00066A25"/>
    <w:rsid w:val="00066CAD"/>
    <w:rsid w:val="000674C4"/>
    <w:rsid w:val="000675B9"/>
    <w:rsid w:val="00067D07"/>
    <w:rsid w:val="0007184F"/>
    <w:rsid w:val="00071E9F"/>
    <w:rsid w:val="00072598"/>
    <w:rsid w:val="00073194"/>
    <w:rsid w:val="00073E8E"/>
    <w:rsid w:val="00074D2B"/>
    <w:rsid w:val="00077223"/>
    <w:rsid w:val="00077269"/>
    <w:rsid w:val="00077563"/>
    <w:rsid w:val="000819E3"/>
    <w:rsid w:val="00081D8F"/>
    <w:rsid w:val="0008299A"/>
    <w:rsid w:val="0008401B"/>
    <w:rsid w:val="000856C3"/>
    <w:rsid w:val="000863E3"/>
    <w:rsid w:val="0008690E"/>
    <w:rsid w:val="000902D3"/>
    <w:rsid w:val="0009189A"/>
    <w:rsid w:val="00093D5E"/>
    <w:rsid w:val="00093E39"/>
    <w:rsid w:val="00094788"/>
    <w:rsid w:val="00096A19"/>
    <w:rsid w:val="00096B19"/>
    <w:rsid w:val="00096DC6"/>
    <w:rsid w:val="000A0FA6"/>
    <w:rsid w:val="000A45D8"/>
    <w:rsid w:val="000A5AE3"/>
    <w:rsid w:val="000A61AA"/>
    <w:rsid w:val="000A64B4"/>
    <w:rsid w:val="000A662C"/>
    <w:rsid w:val="000A69D1"/>
    <w:rsid w:val="000A7185"/>
    <w:rsid w:val="000B148C"/>
    <w:rsid w:val="000B1DDD"/>
    <w:rsid w:val="000B2FB9"/>
    <w:rsid w:val="000B2FD0"/>
    <w:rsid w:val="000B4696"/>
    <w:rsid w:val="000B5134"/>
    <w:rsid w:val="000B7754"/>
    <w:rsid w:val="000C0153"/>
    <w:rsid w:val="000C04F6"/>
    <w:rsid w:val="000C1B88"/>
    <w:rsid w:val="000C4C4C"/>
    <w:rsid w:val="000C5A0C"/>
    <w:rsid w:val="000C5B01"/>
    <w:rsid w:val="000C6D2B"/>
    <w:rsid w:val="000C70F8"/>
    <w:rsid w:val="000D0064"/>
    <w:rsid w:val="000D0323"/>
    <w:rsid w:val="000D1256"/>
    <w:rsid w:val="000D27A9"/>
    <w:rsid w:val="000D5742"/>
    <w:rsid w:val="000D5A65"/>
    <w:rsid w:val="000D68DD"/>
    <w:rsid w:val="000E0561"/>
    <w:rsid w:val="000E0C15"/>
    <w:rsid w:val="000E37C9"/>
    <w:rsid w:val="000E3F12"/>
    <w:rsid w:val="000E4F5C"/>
    <w:rsid w:val="000E533E"/>
    <w:rsid w:val="000E5705"/>
    <w:rsid w:val="000E667C"/>
    <w:rsid w:val="000F0E57"/>
    <w:rsid w:val="000F37F7"/>
    <w:rsid w:val="000F39C8"/>
    <w:rsid w:val="000F4F34"/>
    <w:rsid w:val="000F6527"/>
    <w:rsid w:val="000F6948"/>
    <w:rsid w:val="000F695E"/>
    <w:rsid w:val="000F6D29"/>
    <w:rsid w:val="000F6EA9"/>
    <w:rsid w:val="000F769A"/>
    <w:rsid w:val="001006B7"/>
    <w:rsid w:val="00102AC2"/>
    <w:rsid w:val="00103470"/>
    <w:rsid w:val="001038A2"/>
    <w:rsid w:val="001040D8"/>
    <w:rsid w:val="00104C00"/>
    <w:rsid w:val="00105C45"/>
    <w:rsid w:val="0010692B"/>
    <w:rsid w:val="00106FA5"/>
    <w:rsid w:val="0010764C"/>
    <w:rsid w:val="00110B38"/>
    <w:rsid w:val="00110C84"/>
    <w:rsid w:val="00111497"/>
    <w:rsid w:val="00111565"/>
    <w:rsid w:val="00111BCA"/>
    <w:rsid w:val="00113F5D"/>
    <w:rsid w:val="00114DE2"/>
    <w:rsid w:val="00115F59"/>
    <w:rsid w:val="00117B42"/>
    <w:rsid w:val="00117D4F"/>
    <w:rsid w:val="00120521"/>
    <w:rsid w:val="00120FA9"/>
    <w:rsid w:val="00121AAD"/>
    <w:rsid w:val="00122E79"/>
    <w:rsid w:val="0012304D"/>
    <w:rsid w:val="00123801"/>
    <w:rsid w:val="00123E8D"/>
    <w:rsid w:val="001242A8"/>
    <w:rsid w:val="001248C9"/>
    <w:rsid w:val="00125AE9"/>
    <w:rsid w:val="00125BA0"/>
    <w:rsid w:val="0012674F"/>
    <w:rsid w:val="00127CCF"/>
    <w:rsid w:val="00130488"/>
    <w:rsid w:val="00130BC0"/>
    <w:rsid w:val="001312F4"/>
    <w:rsid w:val="00133ECD"/>
    <w:rsid w:val="00135DD0"/>
    <w:rsid w:val="00142B10"/>
    <w:rsid w:val="00142C39"/>
    <w:rsid w:val="001440C5"/>
    <w:rsid w:val="00145DEA"/>
    <w:rsid w:val="00146F44"/>
    <w:rsid w:val="001470F3"/>
    <w:rsid w:val="00151395"/>
    <w:rsid w:val="00151624"/>
    <w:rsid w:val="00151A37"/>
    <w:rsid w:val="00151CCC"/>
    <w:rsid w:val="00153CE5"/>
    <w:rsid w:val="00155A1B"/>
    <w:rsid w:val="0015666B"/>
    <w:rsid w:val="00161425"/>
    <w:rsid w:val="001625A7"/>
    <w:rsid w:val="0016358C"/>
    <w:rsid w:val="00163CDD"/>
    <w:rsid w:val="00163EB8"/>
    <w:rsid w:val="001640E3"/>
    <w:rsid w:val="00164F18"/>
    <w:rsid w:val="001661AB"/>
    <w:rsid w:val="00166CC2"/>
    <w:rsid w:val="001671AB"/>
    <w:rsid w:val="00167CE2"/>
    <w:rsid w:val="001722BF"/>
    <w:rsid w:val="001729FB"/>
    <w:rsid w:val="00172FD8"/>
    <w:rsid w:val="00174188"/>
    <w:rsid w:val="00174FBE"/>
    <w:rsid w:val="0017589F"/>
    <w:rsid w:val="001759B7"/>
    <w:rsid w:val="001762A3"/>
    <w:rsid w:val="00177CBF"/>
    <w:rsid w:val="001801B3"/>
    <w:rsid w:val="001806A2"/>
    <w:rsid w:val="001809F8"/>
    <w:rsid w:val="00180E78"/>
    <w:rsid w:val="001810C6"/>
    <w:rsid w:val="001813F3"/>
    <w:rsid w:val="00183DBB"/>
    <w:rsid w:val="001841F9"/>
    <w:rsid w:val="00184B7C"/>
    <w:rsid w:val="0018711C"/>
    <w:rsid w:val="001921B6"/>
    <w:rsid w:val="001930FC"/>
    <w:rsid w:val="001940C6"/>
    <w:rsid w:val="00194833"/>
    <w:rsid w:val="00196D00"/>
    <w:rsid w:val="001A0155"/>
    <w:rsid w:val="001A0774"/>
    <w:rsid w:val="001A15E9"/>
    <w:rsid w:val="001A2013"/>
    <w:rsid w:val="001A22FE"/>
    <w:rsid w:val="001A2D43"/>
    <w:rsid w:val="001A2D76"/>
    <w:rsid w:val="001A460E"/>
    <w:rsid w:val="001A6B3C"/>
    <w:rsid w:val="001B0330"/>
    <w:rsid w:val="001B03FD"/>
    <w:rsid w:val="001B1F30"/>
    <w:rsid w:val="001B296E"/>
    <w:rsid w:val="001B56D0"/>
    <w:rsid w:val="001B5775"/>
    <w:rsid w:val="001B5FE8"/>
    <w:rsid w:val="001C0673"/>
    <w:rsid w:val="001C1802"/>
    <w:rsid w:val="001C1C21"/>
    <w:rsid w:val="001C536A"/>
    <w:rsid w:val="001C6A4D"/>
    <w:rsid w:val="001C7878"/>
    <w:rsid w:val="001D1C5E"/>
    <w:rsid w:val="001D29CD"/>
    <w:rsid w:val="001D2F3B"/>
    <w:rsid w:val="001D538C"/>
    <w:rsid w:val="001D5A9D"/>
    <w:rsid w:val="001D67BB"/>
    <w:rsid w:val="001D7178"/>
    <w:rsid w:val="001D7BC4"/>
    <w:rsid w:val="001E0486"/>
    <w:rsid w:val="001E3FF0"/>
    <w:rsid w:val="001E48AC"/>
    <w:rsid w:val="001E55EF"/>
    <w:rsid w:val="001E5CBB"/>
    <w:rsid w:val="001E6CD9"/>
    <w:rsid w:val="001E6FB5"/>
    <w:rsid w:val="001F0DF2"/>
    <w:rsid w:val="001F3022"/>
    <w:rsid w:val="001F319B"/>
    <w:rsid w:val="001F3588"/>
    <w:rsid w:val="001F3A23"/>
    <w:rsid w:val="001F5597"/>
    <w:rsid w:val="001F5E4A"/>
    <w:rsid w:val="001F5E59"/>
    <w:rsid w:val="001F757D"/>
    <w:rsid w:val="002014BE"/>
    <w:rsid w:val="00201F4B"/>
    <w:rsid w:val="00202021"/>
    <w:rsid w:val="00202980"/>
    <w:rsid w:val="0020524F"/>
    <w:rsid w:val="0020767D"/>
    <w:rsid w:val="002112EC"/>
    <w:rsid w:val="00211CC1"/>
    <w:rsid w:val="00211F72"/>
    <w:rsid w:val="002159D0"/>
    <w:rsid w:val="00216501"/>
    <w:rsid w:val="002224A3"/>
    <w:rsid w:val="00222C53"/>
    <w:rsid w:val="0022311B"/>
    <w:rsid w:val="0022457A"/>
    <w:rsid w:val="00224C4B"/>
    <w:rsid w:val="0022628B"/>
    <w:rsid w:val="00227288"/>
    <w:rsid w:val="002304F2"/>
    <w:rsid w:val="00231330"/>
    <w:rsid w:val="002317FF"/>
    <w:rsid w:val="00231F4A"/>
    <w:rsid w:val="00234A15"/>
    <w:rsid w:val="00235C5F"/>
    <w:rsid w:val="002375EB"/>
    <w:rsid w:val="00237D37"/>
    <w:rsid w:val="00242A08"/>
    <w:rsid w:val="00242B67"/>
    <w:rsid w:val="002434B9"/>
    <w:rsid w:val="00244BAD"/>
    <w:rsid w:val="00244C3A"/>
    <w:rsid w:val="0024712B"/>
    <w:rsid w:val="0024763A"/>
    <w:rsid w:val="00250703"/>
    <w:rsid w:val="00250761"/>
    <w:rsid w:val="002509AE"/>
    <w:rsid w:val="00251C40"/>
    <w:rsid w:val="002524FF"/>
    <w:rsid w:val="00252B50"/>
    <w:rsid w:val="00253542"/>
    <w:rsid w:val="002552DD"/>
    <w:rsid w:val="00260E27"/>
    <w:rsid w:val="00261139"/>
    <w:rsid w:val="0026201B"/>
    <w:rsid w:val="002628A6"/>
    <w:rsid w:val="00262EA6"/>
    <w:rsid w:val="00262F0C"/>
    <w:rsid w:val="00263E51"/>
    <w:rsid w:val="002640CD"/>
    <w:rsid w:val="002652E0"/>
    <w:rsid w:val="00265947"/>
    <w:rsid w:val="00267AC1"/>
    <w:rsid w:val="00271CDA"/>
    <w:rsid w:val="002727D5"/>
    <w:rsid w:val="00275B3D"/>
    <w:rsid w:val="00275C35"/>
    <w:rsid w:val="002773F4"/>
    <w:rsid w:val="00283CAD"/>
    <w:rsid w:val="002863E3"/>
    <w:rsid w:val="002877B7"/>
    <w:rsid w:val="002877D1"/>
    <w:rsid w:val="00287A54"/>
    <w:rsid w:val="00287D93"/>
    <w:rsid w:val="0029041E"/>
    <w:rsid w:val="0029064B"/>
    <w:rsid w:val="002920B0"/>
    <w:rsid w:val="00292C33"/>
    <w:rsid w:val="00292D5A"/>
    <w:rsid w:val="0029332F"/>
    <w:rsid w:val="002936B3"/>
    <w:rsid w:val="00294C69"/>
    <w:rsid w:val="002959AC"/>
    <w:rsid w:val="00295FE1"/>
    <w:rsid w:val="002970CA"/>
    <w:rsid w:val="002A0039"/>
    <w:rsid w:val="002A0267"/>
    <w:rsid w:val="002A0716"/>
    <w:rsid w:val="002A162A"/>
    <w:rsid w:val="002A1A53"/>
    <w:rsid w:val="002A1C65"/>
    <w:rsid w:val="002A2773"/>
    <w:rsid w:val="002A4847"/>
    <w:rsid w:val="002B0F23"/>
    <w:rsid w:val="002B1781"/>
    <w:rsid w:val="002B206B"/>
    <w:rsid w:val="002B3649"/>
    <w:rsid w:val="002B4DA3"/>
    <w:rsid w:val="002B5C2C"/>
    <w:rsid w:val="002B63B9"/>
    <w:rsid w:val="002B6AC3"/>
    <w:rsid w:val="002B7AE6"/>
    <w:rsid w:val="002C007A"/>
    <w:rsid w:val="002C41A8"/>
    <w:rsid w:val="002C4502"/>
    <w:rsid w:val="002C544E"/>
    <w:rsid w:val="002C670A"/>
    <w:rsid w:val="002C6A83"/>
    <w:rsid w:val="002C7C26"/>
    <w:rsid w:val="002D4719"/>
    <w:rsid w:val="002D5DD3"/>
    <w:rsid w:val="002D6763"/>
    <w:rsid w:val="002D6B18"/>
    <w:rsid w:val="002E24BE"/>
    <w:rsid w:val="002E30B9"/>
    <w:rsid w:val="002E4368"/>
    <w:rsid w:val="002E4A5C"/>
    <w:rsid w:val="002E4DCC"/>
    <w:rsid w:val="002E5982"/>
    <w:rsid w:val="002E72BF"/>
    <w:rsid w:val="002E7796"/>
    <w:rsid w:val="002F1215"/>
    <w:rsid w:val="002F68F9"/>
    <w:rsid w:val="002F74D0"/>
    <w:rsid w:val="00300500"/>
    <w:rsid w:val="00302B49"/>
    <w:rsid w:val="00302EA4"/>
    <w:rsid w:val="003032C7"/>
    <w:rsid w:val="00303AE0"/>
    <w:rsid w:val="00303F6A"/>
    <w:rsid w:val="00304256"/>
    <w:rsid w:val="0030668B"/>
    <w:rsid w:val="00306EF7"/>
    <w:rsid w:val="00307441"/>
    <w:rsid w:val="00307B41"/>
    <w:rsid w:val="003108B0"/>
    <w:rsid w:val="003128DC"/>
    <w:rsid w:val="00312A88"/>
    <w:rsid w:val="00312EC9"/>
    <w:rsid w:val="00314BD3"/>
    <w:rsid w:val="003153D5"/>
    <w:rsid w:val="0031564C"/>
    <w:rsid w:val="00317128"/>
    <w:rsid w:val="003178A0"/>
    <w:rsid w:val="003214B8"/>
    <w:rsid w:val="0032169B"/>
    <w:rsid w:val="003242BD"/>
    <w:rsid w:val="0032574D"/>
    <w:rsid w:val="00326CDB"/>
    <w:rsid w:val="003271AD"/>
    <w:rsid w:val="003307F2"/>
    <w:rsid w:val="0033279C"/>
    <w:rsid w:val="00332C1D"/>
    <w:rsid w:val="00335320"/>
    <w:rsid w:val="00337A99"/>
    <w:rsid w:val="00340967"/>
    <w:rsid w:val="00341FAD"/>
    <w:rsid w:val="00342136"/>
    <w:rsid w:val="0034313E"/>
    <w:rsid w:val="003438F1"/>
    <w:rsid w:val="00344435"/>
    <w:rsid w:val="00346CAB"/>
    <w:rsid w:val="0034706E"/>
    <w:rsid w:val="003477D8"/>
    <w:rsid w:val="0035070B"/>
    <w:rsid w:val="003514DE"/>
    <w:rsid w:val="003542D9"/>
    <w:rsid w:val="003563AD"/>
    <w:rsid w:val="0035769E"/>
    <w:rsid w:val="00357BA2"/>
    <w:rsid w:val="00360016"/>
    <w:rsid w:val="0036092D"/>
    <w:rsid w:val="003632FA"/>
    <w:rsid w:val="00364576"/>
    <w:rsid w:val="00364C77"/>
    <w:rsid w:val="00370652"/>
    <w:rsid w:val="00372587"/>
    <w:rsid w:val="00376064"/>
    <w:rsid w:val="00380518"/>
    <w:rsid w:val="00380674"/>
    <w:rsid w:val="00381019"/>
    <w:rsid w:val="0038162A"/>
    <w:rsid w:val="00381661"/>
    <w:rsid w:val="003818D8"/>
    <w:rsid w:val="00382613"/>
    <w:rsid w:val="00382653"/>
    <w:rsid w:val="003841AD"/>
    <w:rsid w:val="00384D29"/>
    <w:rsid w:val="00385421"/>
    <w:rsid w:val="0038747D"/>
    <w:rsid w:val="0039018C"/>
    <w:rsid w:val="0039192A"/>
    <w:rsid w:val="00391A7A"/>
    <w:rsid w:val="00392044"/>
    <w:rsid w:val="0039207F"/>
    <w:rsid w:val="003959CA"/>
    <w:rsid w:val="00395B7E"/>
    <w:rsid w:val="003962B9"/>
    <w:rsid w:val="003970EE"/>
    <w:rsid w:val="003A0B49"/>
    <w:rsid w:val="003A1E1B"/>
    <w:rsid w:val="003A29D7"/>
    <w:rsid w:val="003A7771"/>
    <w:rsid w:val="003B114D"/>
    <w:rsid w:val="003B3940"/>
    <w:rsid w:val="003B4002"/>
    <w:rsid w:val="003B451E"/>
    <w:rsid w:val="003B4F7B"/>
    <w:rsid w:val="003B653F"/>
    <w:rsid w:val="003B7EC8"/>
    <w:rsid w:val="003C079C"/>
    <w:rsid w:val="003C08B0"/>
    <w:rsid w:val="003C0C15"/>
    <w:rsid w:val="003C0C23"/>
    <w:rsid w:val="003C1EA7"/>
    <w:rsid w:val="003C3975"/>
    <w:rsid w:val="003C3B2F"/>
    <w:rsid w:val="003C3BC5"/>
    <w:rsid w:val="003C4302"/>
    <w:rsid w:val="003C43C8"/>
    <w:rsid w:val="003C6AD3"/>
    <w:rsid w:val="003C78C9"/>
    <w:rsid w:val="003D231E"/>
    <w:rsid w:val="003D3465"/>
    <w:rsid w:val="003D3D70"/>
    <w:rsid w:val="003D425C"/>
    <w:rsid w:val="003D458D"/>
    <w:rsid w:val="003E0A98"/>
    <w:rsid w:val="003E1F66"/>
    <w:rsid w:val="003E6012"/>
    <w:rsid w:val="003E6232"/>
    <w:rsid w:val="003E654F"/>
    <w:rsid w:val="003E686B"/>
    <w:rsid w:val="003F1395"/>
    <w:rsid w:val="003F15B3"/>
    <w:rsid w:val="003F1C66"/>
    <w:rsid w:val="003F1DE0"/>
    <w:rsid w:val="003F2A5E"/>
    <w:rsid w:val="003F36CF"/>
    <w:rsid w:val="003F3F02"/>
    <w:rsid w:val="003F40CF"/>
    <w:rsid w:val="003F6EF9"/>
    <w:rsid w:val="003F77BB"/>
    <w:rsid w:val="003F7DA5"/>
    <w:rsid w:val="003F7F7D"/>
    <w:rsid w:val="004005F1"/>
    <w:rsid w:val="00400E4C"/>
    <w:rsid w:val="004014FA"/>
    <w:rsid w:val="00404E77"/>
    <w:rsid w:val="004065D9"/>
    <w:rsid w:val="004104B4"/>
    <w:rsid w:val="00410D44"/>
    <w:rsid w:val="00413A49"/>
    <w:rsid w:val="00416BC2"/>
    <w:rsid w:val="00417182"/>
    <w:rsid w:val="00417877"/>
    <w:rsid w:val="004204B6"/>
    <w:rsid w:val="0042062F"/>
    <w:rsid w:val="004233C3"/>
    <w:rsid w:val="00424E5D"/>
    <w:rsid w:val="00425748"/>
    <w:rsid w:val="00425F53"/>
    <w:rsid w:val="004262A4"/>
    <w:rsid w:val="00426DBE"/>
    <w:rsid w:val="00432213"/>
    <w:rsid w:val="00433C6D"/>
    <w:rsid w:val="00434060"/>
    <w:rsid w:val="00434D57"/>
    <w:rsid w:val="00436B44"/>
    <w:rsid w:val="00437552"/>
    <w:rsid w:val="00437833"/>
    <w:rsid w:val="00437F6E"/>
    <w:rsid w:val="00441218"/>
    <w:rsid w:val="004422BE"/>
    <w:rsid w:val="00442D21"/>
    <w:rsid w:val="00442ECA"/>
    <w:rsid w:val="00443F44"/>
    <w:rsid w:val="00444648"/>
    <w:rsid w:val="00445633"/>
    <w:rsid w:val="00446AA5"/>
    <w:rsid w:val="00446F1C"/>
    <w:rsid w:val="0044732D"/>
    <w:rsid w:val="004474D7"/>
    <w:rsid w:val="004479D5"/>
    <w:rsid w:val="004509D9"/>
    <w:rsid w:val="004513B6"/>
    <w:rsid w:val="0045161B"/>
    <w:rsid w:val="0045220A"/>
    <w:rsid w:val="00452307"/>
    <w:rsid w:val="00452B88"/>
    <w:rsid w:val="00452F3F"/>
    <w:rsid w:val="00453A5B"/>
    <w:rsid w:val="00453D76"/>
    <w:rsid w:val="00455831"/>
    <w:rsid w:val="00456231"/>
    <w:rsid w:val="004568F5"/>
    <w:rsid w:val="004601DC"/>
    <w:rsid w:val="00461A76"/>
    <w:rsid w:val="00461FE5"/>
    <w:rsid w:val="00465DEF"/>
    <w:rsid w:val="004660A4"/>
    <w:rsid w:val="0047025F"/>
    <w:rsid w:val="0047270A"/>
    <w:rsid w:val="00473B46"/>
    <w:rsid w:val="00481A97"/>
    <w:rsid w:val="0048285A"/>
    <w:rsid w:val="00483FBC"/>
    <w:rsid w:val="004850F8"/>
    <w:rsid w:val="004856D3"/>
    <w:rsid w:val="0048578D"/>
    <w:rsid w:val="004859FA"/>
    <w:rsid w:val="00486729"/>
    <w:rsid w:val="00486A44"/>
    <w:rsid w:val="00490509"/>
    <w:rsid w:val="0049182D"/>
    <w:rsid w:val="00491B63"/>
    <w:rsid w:val="00492846"/>
    <w:rsid w:val="00493462"/>
    <w:rsid w:val="004939AA"/>
    <w:rsid w:val="00495FF0"/>
    <w:rsid w:val="00496168"/>
    <w:rsid w:val="0049667E"/>
    <w:rsid w:val="00496F46"/>
    <w:rsid w:val="004A1A82"/>
    <w:rsid w:val="004A1B32"/>
    <w:rsid w:val="004A4C05"/>
    <w:rsid w:val="004A577F"/>
    <w:rsid w:val="004A5DD1"/>
    <w:rsid w:val="004B147B"/>
    <w:rsid w:val="004B246E"/>
    <w:rsid w:val="004B2835"/>
    <w:rsid w:val="004B4606"/>
    <w:rsid w:val="004B4858"/>
    <w:rsid w:val="004B5272"/>
    <w:rsid w:val="004B6D46"/>
    <w:rsid w:val="004B7B98"/>
    <w:rsid w:val="004B7E92"/>
    <w:rsid w:val="004C078B"/>
    <w:rsid w:val="004C1106"/>
    <w:rsid w:val="004C2893"/>
    <w:rsid w:val="004C5841"/>
    <w:rsid w:val="004C5EC0"/>
    <w:rsid w:val="004C6F72"/>
    <w:rsid w:val="004C784A"/>
    <w:rsid w:val="004C7A4A"/>
    <w:rsid w:val="004D07E3"/>
    <w:rsid w:val="004D095B"/>
    <w:rsid w:val="004D1C97"/>
    <w:rsid w:val="004D248F"/>
    <w:rsid w:val="004D41B6"/>
    <w:rsid w:val="004D6927"/>
    <w:rsid w:val="004D6C5C"/>
    <w:rsid w:val="004E0147"/>
    <w:rsid w:val="004E0D64"/>
    <w:rsid w:val="004E5401"/>
    <w:rsid w:val="004E5D4D"/>
    <w:rsid w:val="004E6703"/>
    <w:rsid w:val="004E73AC"/>
    <w:rsid w:val="004E793E"/>
    <w:rsid w:val="004E7E61"/>
    <w:rsid w:val="004E7F26"/>
    <w:rsid w:val="004F0711"/>
    <w:rsid w:val="004F15A0"/>
    <w:rsid w:val="004F1AE5"/>
    <w:rsid w:val="004F2671"/>
    <w:rsid w:val="004F378B"/>
    <w:rsid w:val="004F3F45"/>
    <w:rsid w:val="004F4F92"/>
    <w:rsid w:val="004F521A"/>
    <w:rsid w:val="005007FA"/>
    <w:rsid w:val="005031E5"/>
    <w:rsid w:val="00505E6E"/>
    <w:rsid w:val="0050635E"/>
    <w:rsid w:val="0050661F"/>
    <w:rsid w:val="00506A73"/>
    <w:rsid w:val="00506EA4"/>
    <w:rsid w:val="005071E3"/>
    <w:rsid w:val="00511730"/>
    <w:rsid w:val="00513417"/>
    <w:rsid w:val="00515C3D"/>
    <w:rsid w:val="0051781D"/>
    <w:rsid w:val="00521A70"/>
    <w:rsid w:val="0052272E"/>
    <w:rsid w:val="005241B2"/>
    <w:rsid w:val="00525F89"/>
    <w:rsid w:val="00526261"/>
    <w:rsid w:val="0053341A"/>
    <w:rsid w:val="00533B23"/>
    <w:rsid w:val="005348EC"/>
    <w:rsid w:val="005364C2"/>
    <w:rsid w:val="00536751"/>
    <w:rsid w:val="00536A45"/>
    <w:rsid w:val="005416AD"/>
    <w:rsid w:val="00541BB4"/>
    <w:rsid w:val="0054288D"/>
    <w:rsid w:val="00542A9D"/>
    <w:rsid w:val="005471DE"/>
    <w:rsid w:val="0054721E"/>
    <w:rsid w:val="005507B1"/>
    <w:rsid w:val="00550C48"/>
    <w:rsid w:val="005516A2"/>
    <w:rsid w:val="00551878"/>
    <w:rsid w:val="00551F51"/>
    <w:rsid w:val="00555020"/>
    <w:rsid w:val="00556764"/>
    <w:rsid w:val="0055711A"/>
    <w:rsid w:val="005575E7"/>
    <w:rsid w:val="00557719"/>
    <w:rsid w:val="00561328"/>
    <w:rsid w:val="00562CB2"/>
    <w:rsid w:val="00567648"/>
    <w:rsid w:val="00570B10"/>
    <w:rsid w:val="00570B89"/>
    <w:rsid w:val="005714C9"/>
    <w:rsid w:val="0057176D"/>
    <w:rsid w:val="0057313D"/>
    <w:rsid w:val="0057457B"/>
    <w:rsid w:val="005806D6"/>
    <w:rsid w:val="00581CB0"/>
    <w:rsid w:val="00582BA3"/>
    <w:rsid w:val="00582F97"/>
    <w:rsid w:val="00583287"/>
    <w:rsid w:val="005834EF"/>
    <w:rsid w:val="00583681"/>
    <w:rsid w:val="00583C36"/>
    <w:rsid w:val="005845E1"/>
    <w:rsid w:val="00584CF9"/>
    <w:rsid w:val="005858C3"/>
    <w:rsid w:val="005860F8"/>
    <w:rsid w:val="005864D0"/>
    <w:rsid w:val="00591F0E"/>
    <w:rsid w:val="005936D6"/>
    <w:rsid w:val="005938F5"/>
    <w:rsid w:val="00593EE7"/>
    <w:rsid w:val="0059440B"/>
    <w:rsid w:val="0059496F"/>
    <w:rsid w:val="00594EC1"/>
    <w:rsid w:val="00595C94"/>
    <w:rsid w:val="00597989"/>
    <w:rsid w:val="005A001E"/>
    <w:rsid w:val="005A13B8"/>
    <w:rsid w:val="005A1819"/>
    <w:rsid w:val="005A189C"/>
    <w:rsid w:val="005A20D4"/>
    <w:rsid w:val="005A2F42"/>
    <w:rsid w:val="005A369D"/>
    <w:rsid w:val="005A3E66"/>
    <w:rsid w:val="005A438C"/>
    <w:rsid w:val="005A5BEE"/>
    <w:rsid w:val="005A64B3"/>
    <w:rsid w:val="005A7012"/>
    <w:rsid w:val="005A7A1B"/>
    <w:rsid w:val="005B0C20"/>
    <w:rsid w:val="005B1672"/>
    <w:rsid w:val="005B19A6"/>
    <w:rsid w:val="005B1AFF"/>
    <w:rsid w:val="005B1EEF"/>
    <w:rsid w:val="005B214D"/>
    <w:rsid w:val="005B2D47"/>
    <w:rsid w:val="005B387C"/>
    <w:rsid w:val="005B426C"/>
    <w:rsid w:val="005B580B"/>
    <w:rsid w:val="005B6043"/>
    <w:rsid w:val="005B6835"/>
    <w:rsid w:val="005B6A3F"/>
    <w:rsid w:val="005B6C4A"/>
    <w:rsid w:val="005B7252"/>
    <w:rsid w:val="005C0D80"/>
    <w:rsid w:val="005C3ABB"/>
    <w:rsid w:val="005C44D6"/>
    <w:rsid w:val="005C46AD"/>
    <w:rsid w:val="005C4C48"/>
    <w:rsid w:val="005C5B1A"/>
    <w:rsid w:val="005C5F70"/>
    <w:rsid w:val="005C6EE4"/>
    <w:rsid w:val="005D095C"/>
    <w:rsid w:val="005D0D81"/>
    <w:rsid w:val="005D14E0"/>
    <w:rsid w:val="005D1FC8"/>
    <w:rsid w:val="005D2082"/>
    <w:rsid w:val="005D35AF"/>
    <w:rsid w:val="005D37F0"/>
    <w:rsid w:val="005D587E"/>
    <w:rsid w:val="005D5FD6"/>
    <w:rsid w:val="005D76A5"/>
    <w:rsid w:val="005D7F5D"/>
    <w:rsid w:val="005E0835"/>
    <w:rsid w:val="005E0A36"/>
    <w:rsid w:val="005E2C74"/>
    <w:rsid w:val="005E2EDB"/>
    <w:rsid w:val="005E4D0F"/>
    <w:rsid w:val="005E4E3D"/>
    <w:rsid w:val="005E54A3"/>
    <w:rsid w:val="005E5DDE"/>
    <w:rsid w:val="005F1B31"/>
    <w:rsid w:val="005F243C"/>
    <w:rsid w:val="005F39C2"/>
    <w:rsid w:val="005F3DEB"/>
    <w:rsid w:val="005F40B7"/>
    <w:rsid w:val="005F7E63"/>
    <w:rsid w:val="00600E09"/>
    <w:rsid w:val="00601529"/>
    <w:rsid w:val="006023F9"/>
    <w:rsid w:val="006048FC"/>
    <w:rsid w:val="00604D1B"/>
    <w:rsid w:val="00607467"/>
    <w:rsid w:val="00607D28"/>
    <w:rsid w:val="00610E8C"/>
    <w:rsid w:val="0061237E"/>
    <w:rsid w:val="006123A4"/>
    <w:rsid w:val="00613A6B"/>
    <w:rsid w:val="00613EE2"/>
    <w:rsid w:val="00614BEA"/>
    <w:rsid w:val="00614EAA"/>
    <w:rsid w:val="00614F55"/>
    <w:rsid w:val="00615FF3"/>
    <w:rsid w:val="00616BA7"/>
    <w:rsid w:val="00617D60"/>
    <w:rsid w:val="00621414"/>
    <w:rsid w:val="00621738"/>
    <w:rsid w:val="00622356"/>
    <w:rsid w:val="00622C46"/>
    <w:rsid w:val="00623688"/>
    <w:rsid w:val="00623F96"/>
    <w:rsid w:val="00624120"/>
    <w:rsid w:val="006244ED"/>
    <w:rsid w:val="00627EB0"/>
    <w:rsid w:val="00630785"/>
    <w:rsid w:val="00631B08"/>
    <w:rsid w:val="0063221B"/>
    <w:rsid w:val="00633CBF"/>
    <w:rsid w:val="00634DC8"/>
    <w:rsid w:val="0063501E"/>
    <w:rsid w:val="00636350"/>
    <w:rsid w:val="00636759"/>
    <w:rsid w:val="006369D6"/>
    <w:rsid w:val="00636F99"/>
    <w:rsid w:val="0063731B"/>
    <w:rsid w:val="00640CD6"/>
    <w:rsid w:val="006413D8"/>
    <w:rsid w:val="00642745"/>
    <w:rsid w:val="00644EA0"/>
    <w:rsid w:val="00644F82"/>
    <w:rsid w:val="0064744A"/>
    <w:rsid w:val="00647A0C"/>
    <w:rsid w:val="006501D8"/>
    <w:rsid w:val="00650541"/>
    <w:rsid w:val="006514E3"/>
    <w:rsid w:val="00652DBD"/>
    <w:rsid w:val="00652E09"/>
    <w:rsid w:val="006530D3"/>
    <w:rsid w:val="006531A4"/>
    <w:rsid w:val="00653FF6"/>
    <w:rsid w:val="006540A0"/>
    <w:rsid w:val="0065420D"/>
    <w:rsid w:val="00654B46"/>
    <w:rsid w:val="0065662E"/>
    <w:rsid w:val="00656E02"/>
    <w:rsid w:val="006600FD"/>
    <w:rsid w:val="00660A43"/>
    <w:rsid w:val="00660DA6"/>
    <w:rsid w:val="00662B10"/>
    <w:rsid w:val="00663C02"/>
    <w:rsid w:val="00664F8A"/>
    <w:rsid w:val="0066650B"/>
    <w:rsid w:val="00666E32"/>
    <w:rsid w:val="0067181C"/>
    <w:rsid w:val="00672476"/>
    <w:rsid w:val="00672943"/>
    <w:rsid w:val="00675897"/>
    <w:rsid w:val="00680438"/>
    <w:rsid w:val="0068244A"/>
    <w:rsid w:val="00682EF0"/>
    <w:rsid w:val="00683905"/>
    <w:rsid w:val="00683EDC"/>
    <w:rsid w:val="00684717"/>
    <w:rsid w:val="00686591"/>
    <w:rsid w:val="0068762C"/>
    <w:rsid w:val="00690614"/>
    <w:rsid w:val="00691538"/>
    <w:rsid w:val="00691911"/>
    <w:rsid w:val="00692654"/>
    <w:rsid w:val="00694009"/>
    <w:rsid w:val="00695380"/>
    <w:rsid w:val="006971FE"/>
    <w:rsid w:val="00697541"/>
    <w:rsid w:val="006A0AAB"/>
    <w:rsid w:val="006A0EBD"/>
    <w:rsid w:val="006A20C9"/>
    <w:rsid w:val="006A2127"/>
    <w:rsid w:val="006A307B"/>
    <w:rsid w:val="006A51D9"/>
    <w:rsid w:val="006A7365"/>
    <w:rsid w:val="006A7F62"/>
    <w:rsid w:val="006B0973"/>
    <w:rsid w:val="006B1403"/>
    <w:rsid w:val="006B3C58"/>
    <w:rsid w:val="006B3D15"/>
    <w:rsid w:val="006B3F74"/>
    <w:rsid w:val="006B4815"/>
    <w:rsid w:val="006B6F85"/>
    <w:rsid w:val="006B7C60"/>
    <w:rsid w:val="006C0361"/>
    <w:rsid w:val="006C0F04"/>
    <w:rsid w:val="006C118B"/>
    <w:rsid w:val="006C339E"/>
    <w:rsid w:val="006C3E3F"/>
    <w:rsid w:val="006C3E85"/>
    <w:rsid w:val="006C408F"/>
    <w:rsid w:val="006C4422"/>
    <w:rsid w:val="006C5F71"/>
    <w:rsid w:val="006C7A98"/>
    <w:rsid w:val="006C7D67"/>
    <w:rsid w:val="006D148F"/>
    <w:rsid w:val="006D1D2A"/>
    <w:rsid w:val="006D40CE"/>
    <w:rsid w:val="006D592F"/>
    <w:rsid w:val="006D5AC0"/>
    <w:rsid w:val="006D686A"/>
    <w:rsid w:val="006D6C41"/>
    <w:rsid w:val="006D6E75"/>
    <w:rsid w:val="006D70AB"/>
    <w:rsid w:val="006D7EC9"/>
    <w:rsid w:val="006E0432"/>
    <w:rsid w:val="006E0746"/>
    <w:rsid w:val="006E15DE"/>
    <w:rsid w:val="006E30EB"/>
    <w:rsid w:val="006E4334"/>
    <w:rsid w:val="006E5868"/>
    <w:rsid w:val="006E656E"/>
    <w:rsid w:val="006E6E1B"/>
    <w:rsid w:val="006E70CE"/>
    <w:rsid w:val="006E7D55"/>
    <w:rsid w:val="006F1BB8"/>
    <w:rsid w:val="006F2086"/>
    <w:rsid w:val="006F213E"/>
    <w:rsid w:val="006F28B3"/>
    <w:rsid w:val="006F28DD"/>
    <w:rsid w:val="006F5A20"/>
    <w:rsid w:val="006F5EE8"/>
    <w:rsid w:val="006F7C33"/>
    <w:rsid w:val="006F7D43"/>
    <w:rsid w:val="00700A18"/>
    <w:rsid w:val="00700EF7"/>
    <w:rsid w:val="007019CE"/>
    <w:rsid w:val="00702F3C"/>
    <w:rsid w:val="007068DB"/>
    <w:rsid w:val="007079FD"/>
    <w:rsid w:val="00711497"/>
    <w:rsid w:val="00712677"/>
    <w:rsid w:val="00712D21"/>
    <w:rsid w:val="00713677"/>
    <w:rsid w:val="00713C42"/>
    <w:rsid w:val="00715A60"/>
    <w:rsid w:val="00717086"/>
    <w:rsid w:val="00717B18"/>
    <w:rsid w:val="007200CD"/>
    <w:rsid w:val="00720B02"/>
    <w:rsid w:val="007220F6"/>
    <w:rsid w:val="00722983"/>
    <w:rsid w:val="00723B06"/>
    <w:rsid w:val="00723D6A"/>
    <w:rsid w:val="00724727"/>
    <w:rsid w:val="00724A9E"/>
    <w:rsid w:val="007252BE"/>
    <w:rsid w:val="007268C3"/>
    <w:rsid w:val="00730015"/>
    <w:rsid w:val="00731218"/>
    <w:rsid w:val="007318E6"/>
    <w:rsid w:val="00732E16"/>
    <w:rsid w:val="007343A4"/>
    <w:rsid w:val="007350D3"/>
    <w:rsid w:val="00735EDC"/>
    <w:rsid w:val="0073640E"/>
    <w:rsid w:val="0073707D"/>
    <w:rsid w:val="00740B3E"/>
    <w:rsid w:val="00742C80"/>
    <w:rsid w:val="00745728"/>
    <w:rsid w:val="00745A89"/>
    <w:rsid w:val="00745E43"/>
    <w:rsid w:val="007461DC"/>
    <w:rsid w:val="00746E6A"/>
    <w:rsid w:val="007474C7"/>
    <w:rsid w:val="00747F13"/>
    <w:rsid w:val="007505B5"/>
    <w:rsid w:val="00750EE9"/>
    <w:rsid w:val="0075151A"/>
    <w:rsid w:val="00751657"/>
    <w:rsid w:val="00751C52"/>
    <w:rsid w:val="0075224B"/>
    <w:rsid w:val="00752506"/>
    <w:rsid w:val="00752C05"/>
    <w:rsid w:val="00754518"/>
    <w:rsid w:val="00755A57"/>
    <w:rsid w:val="00757624"/>
    <w:rsid w:val="007610A6"/>
    <w:rsid w:val="00761B06"/>
    <w:rsid w:val="00762122"/>
    <w:rsid w:val="00763D86"/>
    <w:rsid w:val="00764247"/>
    <w:rsid w:val="00764D81"/>
    <w:rsid w:val="00764DB7"/>
    <w:rsid w:val="0076572F"/>
    <w:rsid w:val="00766CF8"/>
    <w:rsid w:val="00766FA9"/>
    <w:rsid w:val="007709A9"/>
    <w:rsid w:val="007712FD"/>
    <w:rsid w:val="00771FD0"/>
    <w:rsid w:val="0077213F"/>
    <w:rsid w:val="00772837"/>
    <w:rsid w:val="00772945"/>
    <w:rsid w:val="007730C9"/>
    <w:rsid w:val="007746CB"/>
    <w:rsid w:val="00775C21"/>
    <w:rsid w:val="00775FEA"/>
    <w:rsid w:val="00781049"/>
    <w:rsid w:val="007810E8"/>
    <w:rsid w:val="0078154F"/>
    <w:rsid w:val="00783B41"/>
    <w:rsid w:val="00783E89"/>
    <w:rsid w:val="00785047"/>
    <w:rsid w:val="00786BA3"/>
    <w:rsid w:val="0078741C"/>
    <w:rsid w:val="0079000A"/>
    <w:rsid w:val="007901E8"/>
    <w:rsid w:val="007906A4"/>
    <w:rsid w:val="007909A6"/>
    <w:rsid w:val="00791E19"/>
    <w:rsid w:val="007921AF"/>
    <w:rsid w:val="0079359A"/>
    <w:rsid w:val="00794618"/>
    <w:rsid w:val="007946D4"/>
    <w:rsid w:val="007964D6"/>
    <w:rsid w:val="007A0ACF"/>
    <w:rsid w:val="007A1132"/>
    <w:rsid w:val="007A2EEF"/>
    <w:rsid w:val="007A3525"/>
    <w:rsid w:val="007A3776"/>
    <w:rsid w:val="007A40D0"/>
    <w:rsid w:val="007A42C4"/>
    <w:rsid w:val="007A6101"/>
    <w:rsid w:val="007A6183"/>
    <w:rsid w:val="007A6915"/>
    <w:rsid w:val="007B014F"/>
    <w:rsid w:val="007B059B"/>
    <w:rsid w:val="007B1266"/>
    <w:rsid w:val="007B18DF"/>
    <w:rsid w:val="007B2B18"/>
    <w:rsid w:val="007B346A"/>
    <w:rsid w:val="007B35EE"/>
    <w:rsid w:val="007B444B"/>
    <w:rsid w:val="007B6F66"/>
    <w:rsid w:val="007B7918"/>
    <w:rsid w:val="007C0021"/>
    <w:rsid w:val="007C01D9"/>
    <w:rsid w:val="007C222B"/>
    <w:rsid w:val="007C37B6"/>
    <w:rsid w:val="007C7A28"/>
    <w:rsid w:val="007D1745"/>
    <w:rsid w:val="007D4A54"/>
    <w:rsid w:val="007D64A4"/>
    <w:rsid w:val="007D6C55"/>
    <w:rsid w:val="007D71A0"/>
    <w:rsid w:val="007D758A"/>
    <w:rsid w:val="007E06BA"/>
    <w:rsid w:val="007E0EB0"/>
    <w:rsid w:val="007E1100"/>
    <w:rsid w:val="007E1AFB"/>
    <w:rsid w:val="007E34A5"/>
    <w:rsid w:val="007E3603"/>
    <w:rsid w:val="007E6B83"/>
    <w:rsid w:val="007F1708"/>
    <w:rsid w:val="007F271B"/>
    <w:rsid w:val="007F4621"/>
    <w:rsid w:val="007F48BC"/>
    <w:rsid w:val="007F67D0"/>
    <w:rsid w:val="007F6EB0"/>
    <w:rsid w:val="007F7E97"/>
    <w:rsid w:val="00801522"/>
    <w:rsid w:val="008029F8"/>
    <w:rsid w:val="008032ED"/>
    <w:rsid w:val="00804214"/>
    <w:rsid w:val="00804398"/>
    <w:rsid w:val="008043D3"/>
    <w:rsid w:val="008045C0"/>
    <w:rsid w:val="00805315"/>
    <w:rsid w:val="008073B7"/>
    <w:rsid w:val="00807494"/>
    <w:rsid w:val="008075E4"/>
    <w:rsid w:val="00811F48"/>
    <w:rsid w:val="00813AF0"/>
    <w:rsid w:val="00814343"/>
    <w:rsid w:val="0081543C"/>
    <w:rsid w:val="00816C44"/>
    <w:rsid w:val="008176A8"/>
    <w:rsid w:val="008209DD"/>
    <w:rsid w:val="0082196A"/>
    <w:rsid w:val="0082202C"/>
    <w:rsid w:val="0082264B"/>
    <w:rsid w:val="0082361E"/>
    <w:rsid w:val="00823EAE"/>
    <w:rsid w:val="00825660"/>
    <w:rsid w:val="0082589C"/>
    <w:rsid w:val="00827E82"/>
    <w:rsid w:val="008302A3"/>
    <w:rsid w:val="00831345"/>
    <w:rsid w:val="008313D3"/>
    <w:rsid w:val="00831CE1"/>
    <w:rsid w:val="0083288B"/>
    <w:rsid w:val="008338CB"/>
    <w:rsid w:val="0083458B"/>
    <w:rsid w:val="00836E9C"/>
    <w:rsid w:val="0084139F"/>
    <w:rsid w:val="00841ED7"/>
    <w:rsid w:val="00842F38"/>
    <w:rsid w:val="008434C4"/>
    <w:rsid w:val="008467DF"/>
    <w:rsid w:val="008504DC"/>
    <w:rsid w:val="008507C4"/>
    <w:rsid w:val="0085436D"/>
    <w:rsid w:val="00856FEC"/>
    <w:rsid w:val="00857309"/>
    <w:rsid w:val="0086163A"/>
    <w:rsid w:val="00861658"/>
    <w:rsid w:val="00861F4B"/>
    <w:rsid w:val="00862E34"/>
    <w:rsid w:val="008633F1"/>
    <w:rsid w:val="008633F5"/>
    <w:rsid w:val="00863C7B"/>
    <w:rsid w:val="008646D2"/>
    <w:rsid w:val="00864C41"/>
    <w:rsid w:val="00865E25"/>
    <w:rsid w:val="00865F78"/>
    <w:rsid w:val="00870BBE"/>
    <w:rsid w:val="0087324D"/>
    <w:rsid w:val="008732AB"/>
    <w:rsid w:val="0087378C"/>
    <w:rsid w:val="0087448F"/>
    <w:rsid w:val="00875063"/>
    <w:rsid w:val="008750B3"/>
    <w:rsid w:val="0087646A"/>
    <w:rsid w:val="0087750B"/>
    <w:rsid w:val="00880796"/>
    <w:rsid w:val="0088120B"/>
    <w:rsid w:val="008830E5"/>
    <w:rsid w:val="00883BEC"/>
    <w:rsid w:val="008904A6"/>
    <w:rsid w:val="00890BB7"/>
    <w:rsid w:val="008951D5"/>
    <w:rsid w:val="00895675"/>
    <w:rsid w:val="00895E4B"/>
    <w:rsid w:val="008A101B"/>
    <w:rsid w:val="008A13CB"/>
    <w:rsid w:val="008A2167"/>
    <w:rsid w:val="008A2177"/>
    <w:rsid w:val="008A2C67"/>
    <w:rsid w:val="008A67AD"/>
    <w:rsid w:val="008A6DDE"/>
    <w:rsid w:val="008B0EDD"/>
    <w:rsid w:val="008B2344"/>
    <w:rsid w:val="008B4395"/>
    <w:rsid w:val="008B5BB6"/>
    <w:rsid w:val="008B678E"/>
    <w:rsid w:val="008B6B03"/>
    <w:rsid w:val="008C037F"/>
    <w:rsid w:val="008C2CA5"/>
    <w:rsid w:val="008C5F11"/>
    <w:rsid w:val="008D2C2F"/>
    <w:rsid w:val="008D56A0"/>
    <w:rsid w:val="008E180A"/>
    <w:rsid w:val="008E2F14"/>
    <w:rsid w:val="008E3BF8"/>
    <w:rsid w:val="008E412F"/>
    <w:rsid w:val="008E6CCB"/>
    <w:rsid w:val="008E6D65"/>
    <w:rsid w:val="008E7F24"/>
    <w:rsid w:val="008F232C"/>
    <w:rsid w:val="008F509E"/>
    <w:rsid w:val="008F7BA0"/>
    <w:rsid w:val="008F7FF8"/>
    <w:rsid w:val="009000A9"/>
    <w:rsid w:val="00900F5A"/>
    <w:rsid w:val="009013AD"/>
    <w:rsid w:val="00901F8D"/>
    <w:rsid w:val="00902341"/>
    <w:rsid w:val="0090319D"/>
    <w:rsid w:val="0090387F"/>
    <w:rsid w:val="00906F5A"/>
    <w:rsid w:val="00907E26"/>
    <w:rsid w:val="00911BD0"/>
    <w:rsid w:val="00911C00"/>
    <w:rsid w:val="009120C5"/>
    <w:rsid w:val="009129A1"/>
    <w:rsid w:val="00913400"/>
    <w:rsid w:val="00913787"/>
    <w:rsid w:val="00915FD8"/>
    <w:rsid w:val="00916420"/>
    <w:rsid w:val="00920056"/>
    <w:rsid w:val="009210B0"/>
    <w:rsid w:val="00921284"/>
    <w:rsid w:val="00922292"/>
    <w:rsid w:val="009245CE"/>
    <w:rsid w:val="00927D6F"/>
    <w:rsid w:val="00927DFA"/>
    <w:rsid w:val="00931905"/>
    <w:rsid w:val="009320C2"/>
    <w:rsid w:val="009322D6"/>
    <w:rsid w:val="009327EE"/>
    <w:rsid w:val="00932C54"/>
    <w:rsid w:val="00933722"/>
    <w:rsid w:val="00933915"/>
    <w:rsid w:val="00934940"/>
    <w:rsid w:val="00935547"/>
    <w:rsid w:val="00936BA3"/>
    <w:rsid w:val="00940660"/>
    <w:rsid w:val="00943957"/>
    <w:rsid w:val="00943A58"/>
    <w:rsid w:val="009451D6"/>
    <w:rsid w:val="00945C7D"/>
    <w:rsid w:val="0095153B"/>
    <w:rsid w:val="0095286C"/>
    <w:rsid w:val="00953273"/>
    <w:rsid w:val="009564B2"/>
    <w:rsid w:val="00956DEC"/>
    <w:rsid w:val="00957327"/>
    <w:rsid w:val="009609CB"/>
    <w:rsid w:val="0096277D"/>
    <w:rsid w:val="00962903"/>
    <w:rsid w:val="00963890"/>
    <w:rsid w:val="00963BB3"/>
    <w:rsid w:val="0096473E"/>
    <w:rsid w:val="00965F69"/>
    <w:rsid w:val="009660EF"/>
    <w:rsid w:val="00966B7D"/>
    <w:rsid w:val="0096783F"/>
    <w:rsid w:val="00967A85"/>
    <w:rsid w:val="0097000D"/>
    <w:rsid w:val="0097064B"/>
    <w:rsid w:val="00970730"/>
    <w:rsid w:val="00970F06"/>
    <w:rsid w:val="009718A3"/>
    <w:rsid w:val="00972C26"/>
    <w:rsid w:val="00973AEB"/>
    <w:rsid w:val="00974627"/>
    <w:rsid w:val="00974AFB"/>
    <w:rsid w:val="00975117"/>
    <w:rsid w:val="009768D6"/>
    <w:rsid w:val="009821F9"/>
    <w:rsid w:val="00983D56"/>
    <w:rsid w:val="00985E1B"/>
    <w:rsid w:val="009863F7"/>
    <w:rsid w:val="00986838"/>
    <w:rsid w:val="009869F2"/>
    <w:rsid w:val="00986B5E"/>
    <w:rsid w:val="009902A4"/>
    <w:rsid w:val="00990A77"/>
    <w:rsid w:val="0099194B"/>
    <w:rsid w:val="00993B11"/>
    <w:rsid w:val="00994128"/>
    <w:rsid w:val="00994BF6"/>
    <w:rsid w:val="00995293"/>
    <w:rsid w:val="00995743"/>
    <w:rsid w:val="009965F4"/>
    <w:rsid w:val="0099693B"/>
    <w:rsid w:val="009976C1"/>
    <w:rsid w:val="00997929"/>
    <w:rsid w:val="00997B94"/>
    <w:rsid w:val="00997E6B"/>
    <w:rsid w:val="009A0588"/>
    <w:rsid w:val="009A16F1"/>
    <w:rsid w:val="009A177D"/>
    <w:rsid w:val="009A21F7"/>
    <w:rsid w:val="009A2FA2"/>
    <w:rsid w:val="009A33C7"/>
    <w:rsid w:val="009A3E55"/>
    <w:rsid w:val="009B0946"/>
    <w:rsid w:val="009B0D00"/>
    <w:rsid w:val="009B180F"/>
    <w:rsid w:val="009B28A7"/>
    <w:rsid w:val="009B2D68"/>
    <w:rsid w:val="009B4403"/>
    <w:rsid w:val="009B4E5A"/>
    <w:rsid w:val="009B75A1"/>
    <w:rsid w:val="009C0846"/>
    <w:rsid w:val="009C22B9"/>
    <w:rsid w:val="009C2846"/>
    <w:rsid w:val="009C3A21"/>
    <w:rsid w:val="009C42BA"/>
    <w:rsid w:val="009C6DB9"/>
    <w:rsid w:val="009C7555"/>
    <w:rsid w:val="009D110D"/>
    <w:rsid w:val="009D1898"/>
    <w:rsid w:val="009D19B0"/>
    <w:rsid w:val="009D3BB9"/>
    <w:rsid w:val="009D4C26"/>
    <w:rsid w:val="009D5146"/>
    <w:rsid w:val="009D516A"/>
    <w:rsid w:val="009E01ED"/>
    <w:rsid w:val="009E0B6B"/>
    <w:rsid w:val="009E10F7"/>
    <w:rsid w:val="009E177D"/>
    <w:rsid w:val="009E2828"/>
    <w:rsid w:val="009E412D"/>
    <w:rsid w:val="009E5B11"/>
    <w:rsid w:val="009E683B"/>
    <w:rsid w:val="009E7D87"/>
    <w:rsid w:val="009F1FA9"/>
    <w:rsid w:val="009F20C9"/>
    <w:rsid w:val="009F3C82"/>
    <w:rsid w:val="009F3FCA"/>
    <w:rsid w:val="009F49C3"/>
    <w:rsid w:val="009F4F32"/>
    <w:rsid w:val="009F5560"/>
    <w:rsid w:val="00A01C55"/>
    <w:rsid w:val="00A0265F"/>
    <w:rsid w:val="00A02A21"/>
    <w:rsid w:val="00A02D4D"/>
    <w:rsid w:val="00A030C2"/>
    <w:rsid w:val="00A04D18"/>
    <w:rsid w:val="00A04FEA"/>
    <w:rsid w:val="00A05172"/>
    <w:rsid w:val="00A06C0A"/>
    <w:rsid w:val="00A06FB7"/>
    <w:rsid w:val="00A07D1C"/>
    <w:rsid w:val="00A07F4A"/>
    <w:rsid w:val="00A10672"/>
    <w:rsid w:val="00A10B2A"/>
    <w:rsid w:val="00A1111E"/>
    <w:rsid w:val="00A126CE"/>
    <w:rsid w:val="00A13522"/>
    <w:rsid w:val="00A135B5"/>
    <w:rsid w:val="00A13BA2"/>
    <w:rsid w:val="00A14163"/>
    <w:rsid w:val="00A16718"/>
    <w:rsid w:val="00A17884"/>
    <w:rsid w:val="00A20A10"/>
    <w:rsid w:val="00A20C80"/>
    <w:rsid w:val="00A2263A"/>
    <w:rsid w:val="00A245DC"/>
    <w:rsid w:val="00A24A1C"/>
    <w:rsid w:val="00A24B75"/>
    <w:rsid w:val="00A275A3"/>
    <w:rsid w:val="00A3154B"/>
    <w:rsid w:val="00A3155A"/>
    <w:rsid w:val="00A3205C"/>
    <w:rsid w:val="00A344A4"/>
    <w:rsid w:val="00A347EA"/>
    <w:rsid w:val="00A3513D"/>
    <w:rsid w:val="00A36187"/>
    <w:rsid w:val="00A36C17"/>
    <w:rsid w:val="00A37ABD"/>
    <w:rsid w:val="00A4008C"/>
    <w:rsid w:val="00A43A4E"/>
    <w:rsid w:val="00A45C68"/>
    <w:rsid w:val="00A47728"/>
    <w:rsid w:val="00A5017F"/>
    <w:rsid w:val="00A507F2"/>
    <w:rsid w:val="00A50833"/>
    <w:rsid w:val="00A5097E"/>
    <w:rsid w:val="00A515CF"/>
    <w:rsid w:val="00A51FE6"/>
    <w:rsid w:val="00A523A5"/>
    <w:rsid w:val="00A52E0C"/>
    <w:rsid w:val="00A53C0C"/>
    <w:rsid w:val="00A53EF8"/>
    <w:rsid w:val="00A54CE5"/>
    <w:rsid w:val="00A55341"/>
    <w:rsid w:val="00A56493"/>
    <w:rsid w:val="00A569A8"/>
    <w:rsid w:val="00A56DEA"/>
    <w:rsid w:val="00A60143"/>
    <w:rsid w:val="00A60185"/>
    <w:rsid w:val="00A62663"/>
    <w:rsid w:val="00A636B5"/>
    <w:rsid w:val="00A666ED"/>
    <w:rsid w:val="00A66C43"/>
    <w:rsid w:val="00A70315"/>
    <w:rsid w:val="00A7071C"/>
    <w:rsid w:val="00A73F2C"/>
    <w:rsid w:val="00A7454B"/>
    <w:rsid w:val="00A75759"/>
    <w:rsid w:val="00A75F91"/>
    <w:rsid w:val="00A76C43"/>
    <w:rsid w:val="00A775FC"/>
    <w:rsid w:val="00A77CD6"/>
    <w:rsid w:val="00A816E6"/>
    <w:rsid w:val="00A832A0"/>
    <w:rsid w:val="00A83B4F"/>
    <w:rsid w:val="00A84C95"/>
    <w:rsid w:val="00A865A5"/>
    <w:rsid w:val="00A91A36"/>
    <w:rsid w:val="00A93002"/>
    <w:rsid w:val="00A94D1B"/>
    <w:rsid w:val="00A95520"/>
    <w:rsid w:val="00A9553B"/>
    <w:rsid w:val="00A97915"/>
    <w:rsid w:val="00AA3ED6"/>
    <w:rsid w:val="00AA46F4"/>
    <w:rsid w:val="00AA47F1"/>
    <w:rsid w:val="00AA66A5"/>
    <w:rsid w:val="00AA7492"/>
    <w:rsid w:val="00AB17FC"/>
    <w:rsid w:val="00AB1FEE"/>
    <w:rsid w:val="00AB24DF"/>
    <w:rsid w:val="00AB346E"/>
    <w:rsid w:val="00AB4362"/>
    <w:rsid w:val="00AB4B76"/>
    <w:rsid w:val="00AB4DE2"/>
    <w:rsid w:val="00AB61CE"/>
    <w:rsid w:val="00AB6613"/>
    <w:rsid w:val="00AB6D1B"/>
    <w:rsid w:val="00AC312F"/>
    <w:rsid w:val="00AC3387"/>
    <w:rsid w:val="00AC428B"/>
    <w:rsid w:val="00AC43F3"/>
    <w:rsid w:val="00AC4C16"/>
    <w:rsid w:val="00AC4D31"/>
    <w:rsid w:val="00AC4E3D"/>
    <w:rsid w:val="00AC6BE4"/>
    <w:rsid w:val="00AD0AF0"/>
    <w:rsid w:val="00AD1A34"/>
    <w:rsid w:val="00AD1B43"/>
    <w:rsid w:val="00AD3A1C"/>
    <w:rsid w:val="00AD3B4B"/>
    <w:rsid w:val="00AD4377"/>
    <w:rsid w:val="00AD507C"/>
    <w:rsid w:val="00AD6533"/>
    <w:rsid w:val="00AE1FF7"/>
    <w:rsid w:val="00AE239B"/>
    <w:rsid w:val="00AE297B"/>
    <w:rsid w:val="00AE3005"/>
    <w:rsid w:val="00AE3020"/>
    <w:rsid w:val="00AE4309"/>
    <w:rsid w:val="00AE4DAF"/>
    <w:rsid w:val="00AF0C28"/>
    <w:rsid w:val="00AF1695"/>
    <w:rsid w:val="00AF1BA8"/>
    <w:rsid w:val="00AF23F3"/>
    <w:rsid w:val="00AF2524"/>
    <w:rsid w:val="00AF34E8"/>
    <w:rsid w:val="00AF46CC"/>
    <w:rsid w:val="00AF4BB1"/>
    <w:rsid w:val="00AF7664"/>
    <w:rsid w:val="00AF7740"/>
    <w:rsid w:val="00B01BF4"/>
    <w:rsid w:val="00B024B0"/>
    <w:rsid w:val="00B02819"/>
    <w:rsid w:val="00B042EC"/>
    <w:rsid w:val="00B04A93"/>
    <w:rsid w:val="00B04EF4"/>
    <w:rsid w:val="00B05D00"/>
    <w:rsid w:val="00B106D9"/>
    <w:rsid w:val="00B10EDD"/>
    <w:rsid w:val="00B1128D"/>
    <w:rsid w:val="00B11C4F"/>
    <w:rsid w:val="00B11D7B"/>
    <w:rsid w:val="00B12597"/>
    <w:rsid w:val="00B12EE6"/>
    <w:rsid w:val="00B138BE"/>
    <w:rsid w:val="00B14049"/>
    <w:rsid w:val="00B14B4D"/>
    <w:rsid w:val="00B2092E"/>
    <w:rsid w:val="00B2096C"/>
    <w:rsid w:val="00B22D0F"/>
    <w:rsid w:val="00B230FC"/>
    <w:rsid w:val="00B23DF5"/>
    <w:rsid w:val="00B24014"/>
    <w:rsid w:val="00B250E0"/>
    <w:rsid w:val="00B25AF7"/>
    <w:rsid w:val="00B26A00"/>
    <w:rsid w:val="00B309B0"/>
    <w:rsid w:val="00B30C73"/>
    <w:rsid w:val="00B316B5"/>
    <w:rsid w:val="00B318F7"/>
    <w:rsid w:val="00B321CA"/>
    <w:rsid w:val="00B32D3D"/>
    <w:rsid w:val="00B337A5"/>
    <w:rsid w:val="00B34510"/>
    <w:rsid w:val="00B346CB"/>
    <w:rsid w:val="00B400B1"/>
    <w:rsid w:val="00B410E8"/>
    <w:rsid w:val="00B4185B"/>
    <w:rsid w:val="00B41BFE"/>
    <w:rsid w:val="00B4439C"/>
    <w:rsid w:val="00B444AC"/>
    <w:rsid w:val="00B451F2"/>
    <w:rsid w:val="00B46343"/>
    <w:rsid w:val="00B4757A"/>
    <w:rsid w:val="00B51D1F"/>
    <w:rsid w:val="00B526A3"/>
    <w:rsid w:val="00B55541"/>
    <w:rsid w:val="00B557BB"/>
    <w:rsid w:val="00B60B3E"/>
    <w:rsid w:val="00B61DFD"/>
    <w:rsid w:val="00B625D1"/>
    <w:rsid w:val="00B63E19"/>
    <w:rsid w:val="00B64FD7"/>
    <w:rsid w:val="00B666CE"/>
    <w:rsid w:val="00B66B76"/>
    <w:rsid w:val="00B66E18"/>
    <w:rsid w:val="00B671DD"/>
    <w:rsid w:val="00B7072B"/>
    <w:rsid w:val="00B7270E"/>
    <w:rsid w:val="00B75700"/>
    <w:rsid w:val="00B76559"/>
    <w:rsid w:val="00B82AEC"/>
    <w:rsid w:val="00B84F87"/>
    <w:rsid w:val="00B90379"/>
    <w:rsid w:val="00B9075E"/>
    <w:rsid w:val="00B91ED3"/>
    <w:rsid w:val="00B92F12"/>
    <w:rsid w:val="00B93463"/>
    <w:rsid w:val="00B95380"/>
    <w:rsid w:val="00B9569B"/>
    <w:rsid w:val="00B95743"/>
    <w:rsid w:val="00B962DC"/>
    <w:rsid w:val="00B9788A"/>
    <w:rsid w:val="00B97C0B"/>
    <w:rsid w:val="00BA136D"/>
    <w:rsid w:val="00BA2A21"/>
    <w:rsid w:val="00BA2A30"/>
    <w:rsid w:val="00BA3909"/>
    <w:rsid w:val="00BA46BC"/>
    <w:rsid w:val="00BA479A"/>
    <w:rsid w:val="00BA5095"/>
    <w:rsid w:val="00BA6D63"/>
    <w:rsid w:val="00BB1D2A"/>
    <w:rsid w:val="00BB3F21"/>
    <w:rsid w:val="00BB503D"/>
    <w:rsid w:val="00BB5AA2"/>
    <w:rsid w:val="00BB69B9"/>
    <w:rsid w:val="00BB7EF6"/>
    <w:rsid w:val="00BC1405"/>
    <w:rsid w:val="00BC1DB5"/>
    <w:rsid w:val="00BC31F0"/>
    <w:rsid w:val="00BC4F36"/>
    <w:rsid w:val="00BC56AC"/>
    <w:rsid w:val="00BC61DA"/>
    <w:rsid w:val="00BC6496"/>
    <w:rsid w:val="00BC7ABD"/>
    <w:rsid w:val="00BD0C77"/>
    <w:rsid w:val="00BD0CDF"/>
    <w:rsid w:val="00BD30E3"/>
    <w:rsid w:val="00BD37A7"/>
    <w:rsid w:val="00BD39B5"/>
    <w:rsid w:val="00BD39BF"/>
    <w:rsid w:val="00BD495E"/>
    <w:rsid w:val="00BD5594"/>
    <w:rsid w:val="00BD56F0"/>
    <w:rsid w:val="00BD5CA7"/>
    <w:rsid w:val="00BD5F5C"/>
    <w:rsid w:val="00BD7495"/>
    <w:rsid w:val="00BD7F45"/>
    <w:rsid w:val="00BE041F"/>
    <w:rsid w:val="00BE15B0"/>
    <w:rsid w:val="00BE26A1"/>
    <w:rsid w:val="00BE3650"/>
    <w:rsid w:val="00BE399F"/>
    <w:rsid w:val="00BE444D"/>
    <w:rsid w:val="00BE498E"/>
    <w:rsid w:val="00BE4C97"/>
    <w:rsid w:val="00BE6579"/>
    <w:rsid w:val="00BE6C5A"/>
    <w:rsid w:val="00BF2B1D"/>
    <w:rsid w:val="00BF4D2F"/>
    <w:rsid w:val="00BF4EEF"/>
    <w:rsid w:val="00BF50CD"/>
    <w:rsid w:val="00BF6033"/>
    <w:rsid w:val="00BF7155"/>
    <w:rsid w:val="00C006C3"/>
    <w:rsid w:val="00C01EA6"/>
    <w:rsid w:val="00C0211C"/>
    <w:rsid w:val="00C03B0F"/>
    <w:rsid w:val="00C05B38"/>
    <w:rsid w:val="00C077D4"/>
    <w:rsid w:val="00C07B5A"/>
    <w:rsid w:val="00C11406"/>
    <w:rsid w:val="00C11F22"/>
    <w:rsid w:val="00C1296B"/>
    <w:rsid w:val="00C1350E"/>
    <w:rsid w:val="00C135BF"/>
    <w:rsid w:val="00C14104"/>
    <w:rsid w:val="00C14302"/>
    <w:rsid w:val="00C157A2"/>
    <w:rsid w:val="00C21C31"/>
    <w:rsid w:val="00C2302A"/>
    <w:rsid w:val="00C23B0B"/>
    <w:rsid w:val="00C24A92"/>
    <w:rsid w:val="00C252B6"/>
    <w:rsid w:val="00C25B37"/>
    <w:rsid w:val="00C25E3C"/>
    <w:rsid w:val="00C27477"/>
    <w:rsid w:val="00C27EBE"/>
    <w:rsid w:val="00C310E4"/>
    <w:rsid w:val="00C31BE8"/>
    <w:rsid w:val="00C32478"/>
    <w:rsid w:val="00C34414"/>
    <w:rsid w:val="00C34990"/>
    <w:rsid w:val="00C3637B"/>
    <w:rsid w:val="00C36411"/>
    <w:rsid w:val="00C36542"/>
    <w:rsid w:val="00C3799D"/>
    <w:rsid w:val="00C4020F"/>
    <w:rsid w:val="00C429B8"/>
    <w:rsid w:val="00C446B5"/>
    <w:rsid w:val="00C45080"/>
    <w:rsid w:val="00C50266"/>
    <w:rsid w:val="00C5174B"/>
    <w:rsid w:val="00C51BD7"/>
    <w:rsid w:val="00C52875"/>
    <w:rsid w:val="00C53BCD"/>
    <w:rsid w:val="00C549D9"/>
    <w:rsid w:val="00C564FC"/>
    <w:rsid w:val="00C613C8"/>
    <w:rsid w:val="00C621EC"/>
    <w:rsid w:val="00C63323"/>
    <w:rsid w:val="00C65978"/>
    <w:rsid w:val="00C6673C"/>
    <w:rsid w:val="00C66897"/>
    <w:rsid w:val="00C66A5B"/>
    <w:rsid w:val="00C67E8C"/>
    <w:rsid w:val="00C71514"/>
    <w:rsid w:val="00C7223D"/>
    <w:rsid w:val="00C723DD"/>
    <w:rsid w:val="00C72983"/>
    <w:rsid w:val="00C72E68"/>
    <w:rsid w:val="00C73929"/>
    <w:rsid w:val="00C756C0"/>
    <w:rsid w:val="00C762DD"/>
    <w:rsid w:val="00C765A2"/>
    <w:rsid w:val="00C807D5"/>
    <w:rsid w:val="00C81103"/>
    <w:rsid w:val="00C81A66"/>
    <w:rsid w:val="00C82451"/>
    <w:rsid w:val="00C82CCF"/>
    <w:rsid w:val="00C83948"/>
    <w:rsid w:val="00C853C7"/>
    <w:rsid w:val="00C87099"/>
    <w:rsid w:val="00C87291"/>
    <w:rsid w:val="00C90230"/>
    <w:rsid w:val="00C90898"/>
    <w:rsid w:val="00C9146D"/>
    <w:rsid w:val="00C91B59"/>
    <w:rsid w:val="00C92935"/>
    <w:rsid w:val="00C931B4"/>
    <w:rsid w:val="00C93853"/>
    <w:rsid w:val="00C95B31"/>
    <w:rsid w:val="00C95E5B"/>
    <w:rsid w:val="00C97352"/>
    <w:rsid w:val="00CA0318"/>
    <w:rsid w:val="00CA1BF4"/>
    <w:rsid w:val="00CA2FC6"/>
    <w:rsid w:val="00CA3660"/>
    <w:rsid w:val="00CA422C"/>
    <w:rsid w:val="00CA50F7"/>
    <w:rsid w:val="00CA64AA"/>
    <w:rsid w:val="00CA6E77"/>
    <w:rsid w:val="00CA7ED5"/>
    <w:rsid w:val="00CB0F8B"/>
    <w:rsid w:val="00CB0F9C"/>
    <w:rsid w:val="00CB26A5"/>
    <w:rsid w:val="00CB4248"/>
    <w:rsid w:val="00CB4D89"/>
    <w:rsid w:val="00CC0C0A"/>
    <w:rsid w:val="00CC11AA"/>
    <w:rsid w:val="00CC1987"/>
    <w:rsid w:val="00CC21DD"/>
    <w:rsid w:val="00CC34E3"/>
    <w:rsid w:val="00CC364C"/>
    <w:rsid w:val="00CC3866"/>
    <w:rsid w:val="00CC52E8"/>
    <w:rsid w:val="00CC556C"/>
    <w:rsid w:val="00CC575E"/>
    <w:rsid w:val="00CC5CE8"/>
    <w:rsid w:val="00CD0D5D"/>
    <w:rsid w:val="00CD1EE1"/>
    <w:rsid w:val="00CD270B"/>
    <w:rsid w:val="00CD3DC9"/>
    <w:rsid w:val="00CD3F3C"/>
    <w:rsid w:val="00CD5878"/>
    <w:rsid w:val="00CE0407"/>
    <w:rsid w:val="00CE0966"/>
    <w:rsid w:val="00CE0B9B"/>
    <w:rsid w:val="00CE27FC"/>
    <w:rsid w:val="00CE36B3"/>
    <w:rsid w:val="00CE724F"/>
    <w:rsid w:val="00CF08E1"/>
    <w:rsid w:val="00CF0D90"/>
    <w:rsid w:val="00CF1A3E"/>
    <w:rsid w:val="00CF2DFC"/>
    <w:rsid w:val="00CF3608"/>
    <w:rsid w:val="00CF5FF6"/>
    <w:rsid w:val="00CF6186"/>
    <w:rsid w:val="00CF6311"/>
    <w:rsid w:val="00CF70BF"/>
    <w:rsid w:val="00D00B2C"/>
    <w:rsid w:val="00D07668"/>
    <w:rsid w:val="00D10207"/>
    <w:rsid w:val="00D11708"/>
    <w:rsid w:val="00D11859"/>
    <w:rsid w:val="00D15EDA"/>
    <w:rsid w:val="00D16B9F"/>
    <w:rsid w:val="00D16FAD"/>
    <w:rsid w:val="00D200E0"/>
    <w:rsid w:val="00D21653"/>
    <w:rsid w:val="00D21FBB"/>
    <w:rsid w:val="00D23C6D"/>
    <w:rsid w:val="00D2509C"/>
    <w:rsid w:val="00D25BFB"/>
    <w:rsid w:val="00D26C90"/>
    <w:rsid w:val="00D3232D"/>
    <w:rsid w:val="00D32F85"/>
    <w:rsid w:val="00D333F6"/>
    <w:rsid w:val="00D37513"/>
    <w:rsid w:val="00D37AE3"/>
    <w:rsid w:val="00D40D74"/>
    <w:rsid w:val="00D41371"/>
    <w:rsid w:val="00D433AB"/>
    <w:rsid w:val="00D44744"/>
    <w:rsid w:val="00D454EF"/>
    <w:rsid w:val="00D4633D"/>
    <w:rsid w:val="00D4764D"/>
    <w:rsid w:val="00D51A45"/>
    <w:rsid w:val="00D51AA3"/>
    <w:rsid w:val="00D51B5A"/>
    <w:rsid w:val="00D522EB"/>
    <w:rsid w:val="00D52661"/>
    <w:rsid w:val="00D531D4"/>
    <w:rsid w:val="00D53392"/>
    <w:rsid w:val="00D53E41"/>
    <w:rsid w:val="00D5527B"/>
    <w:rsid w:val="00D56E6F"/>
    <w:rsid w:val="00D605F9"/>
    <w:rsid w:val="00D63DE7"/>
    <w:rsid w:val="00D67F8A"/>
    <w:rsid w:val="00D70736"/>
    <w:rsid w:val="00D7145E"/>
    <w:rsid w:val="00D725BD"/>
    <w:rsid w:val="00D738F6"/>
    <w:rsid w:val="00D76218"/>
    <w:rsid w:val="00D76EBE"/>
    <w:rsid w:val="00D77640"/>
    <w:rsid w:val="00D7778D"/>
    <w:rsid w:val="00D77D54"/>
    <w:rsid w:val="00D80483"/>
    <w:rsid w:val="00D816D5"/>
    <w:rsid w:val="00D81C25"/>
    <w:rsid w:val="00D83AF2"/>
    <w:rsid w:val="00D84EF5"/>
    <w:rsid w:val="00D8552D"/>
    <w:rsid w:val="00D85534"/>
    <w:rsid w:val="00D85BBA"/>
    <w:rsid w:val="00D8753C"/>
    <w:rsid w:val="00D943D6"/>
    <w:rsid w:val="00D94A98"/>
    <w:rsid w:val="00D94FFD"/>
    <w:rsid w:val="00D95B9B"/>
    <w:rsid w:val="00D9752A"/>
    <w:rsid w:val="00DA0C12"/>
    <w:rsid w:val="00DA11BE"/>
    <w:rsid w:val="00DA2F3E"/>
    <w:rsid w:val="00DA38B6"/>
    <w:rsid w:val="00DA4954"/>
    <w:rsid w:val="00DA67AD"/>
    <w:rsid w:val="00DB0EAA"/>
    <w:rsid w:val="00DB0F1E"/>
    <w:rsid w:val="00DB1A39"/>
    <w:rsid w:val="00DB2B4E"/>
    <w:rsid w:val="00DB4078"/>
    <w:rsid w:val="00DB52B9"/>
    <w:rsid w:val="00DB55ED"/>
    <w:rsid w:val="00DC00C2"/>
    <w:rsid w:val="00DC0393"/>
    <w:rsid w:val="00DC1179"/>
    <w:rsid w:val="00DC1BE8"/>
    <w:rsid w:val="00DC2978"/>
    <w:rsid w:val="00DC431C"/>
    <w:rsid w:val="00DC4CCD"/>
    <w:rsid w:val="00DC52D8"/>
    <w:rsid w:val="00DC5DAE"/>
    <w:rsid w:val="00DC5F83"/>
    <w:rsid w:val="00DC69DE"/>
    <w:rsid w:val="00DC7059"/>
    <w:rsid w:val="00DC7925"/>
    <w:rsid w:val="00DD1AA2"/>
    <w:rsid w:val="00DD1D44"/>
    <w:rsid w:val="00DD258E"/>
    <w:rsid w:val="00DD2986"/>
    <w:rsid w:val="00DD36AF"/>
    <w:rsid w:val="00DD6621"/>
    <w:rsid w:val="00DD6C84"/>
    <w:rsid w:val="00DE2363"/>
    <w:rsid w:val="00DE2D4E"/>
    <w:rsid w:val="00DE3CEE"/>
    <w:rsid w:val="00DE4A79"/>
    <w:rsid w:val="00DE4BCF"/>
    <w:rsid w:val="00DE7014"/>
    <w:rsid w:val="00DF0331"/>
    <w:rsid w:val="00DF0ED2"/>
    <w:rsid w:val="00DF3D56"/>
    <w:rsid w:val="00DF467B"/>
    <w:rsid w:val="00DF48EC"/>
    <w:rsid w:val="00DF50CF"/>
    <w:rsid w:val="00DF6510"/>
    <w:rsid w:val="00DF7F14"/>
    <w:rsid w:val="00E00021"/>
    <w:rsid w:val="00E01467"/>
    <w:rsid w:val="00E0488C"/>
    <w:rsid w:val="00E04E62"/>
    <w:rsid w:val="00E05106"/>
    <w:rsid w:val="00E058CE"/>
    <w:rsid w:val="00E05987"/>
    <w:rsid w:val="00E06438"/>
    <w:rsid w:val="00E06AEF"/>
    <w:rsid w:val="00E06C5F"/>
    <w:rsid w:val="00E06F7B"/>
    <w:rsid w:val="00E10C8C"/>
    <w:rsid w:val="00E11035"/>
    <w:rsid w:val="00E1192B"/>
    <w:rsid w:val="00E12640"/>
    <w:rsid w:val="00E12822"/>
    <w:rsid w:val="00E12887"/>
    <w:rsid w:val="00E13158"/>
    <w:rsid w:val="00E13B43"/>
    <w:rsid w:val="00E141C7"/>
    <w:rsid w:val="00E148B7"/>
    <w:rsid w:val="00E1513A"/>
    <w:rsid w:val="00E152B8"/>
    <w:rsid w:val="00E154DE"/>
    <w:rsid w:val="00E159BF"/>
    <w:rsid w:val="00E1797A"/>
    <w:rsid w:val="00E2169B"/>
    <w:rsid w:val="00E248DA"/>
    <w:rsid w:val="00E25991"/>
    <w:rsid w:val="00E263AE"/>
    <w:rsid w:val="00E26C85"/>
    <w:rsid w:val="00E31C83"/>
    <w:rsid w:val="00E356C6"/>
    <w:rsid w:val="00E36971"/>
    <w:rsid w:val="00E40AA4"/>
    <w:rsid w:val="00E40DE3"/>
    <w:rsid w:val="00E42095"/>
    <w:rsid w:val="00E43E6D"/>
    <w:rsid w:val="00E44425"/>
    <w:rsid w:val="00E449BB"/>
    <w:rsid w:val="00E4539F"/>
    <w:rsid w:val="00E45D78"/>
    <w:rsid w:val="00E4769B"/>
    <w:rsid w:val="00E47784"/>
    <w:rsid w:val="00E47792"/>
    <w:rsid w:val="00E51378"/>
    <w:rsid w:val="00E51DB7"/>
    <w:rsid w:val="00E51E91"/>
    <w:rsid w:val="00E52A5A"/>
    <w:rsid w:val="00E55956"/>
    <w:rsid w:val="00E55C71"/>
    <w:rsid w:val="00E55CFF"/>
    <w:rsid w:val="00E56E8D"/>
    <w:rsid w:val="00E575A4"/>
    <w:rsid w:val="00E576A3"/>
    <w:rsid w:val="00E57F5E"/>
    <w:rsid w:val="00E60210"/>
    <w:rsid w:val="00E61B26"/>
    <w:rsid w:val="00E61C1B"/>
    <w:rsid w:val="00E638FA"/>
    <w:rsid w:val="00E65A78"/>
    <w:rsid w:val="00E668A1"/>
    <w:rsid w:val="00E67F4E"/>
    <w:rsid w:val="00E7043E"/>
    <w:rsid w:val="00E70B47"/>
    <w:rsid w:val="00E72541"/>
    <w:rsid w:val="00E72D4D"/>
    <w:rsid w:val="00E751EF"/>
    <w:rsid w:val="00E76E4E"/>
    <w:rsid w:val="00E7751F"/>
    <w:rsid w:val="00E8069C"/>
    <w:rsid w:val="00E806E5"/>
    <w:rsid w:val="00E81329"/>
    <w:rsid w:val="00E83A01"/>
    <w:rsid w:val="00E846BE"/>
    <w:rsid w:val="00E848FE"/>
    <w:rsid w:val="00E85F39"/>
    <w:rsid w:val="00E9056B"/>
    <w:rsid w:val="00E9170B"/>
    <w:rsid w:val="00E925EB"/>
    <w:rsid w:val="00E93DDE"/>
    <w:rsid w:val="00E94D0D"/>
    <w:rsid w:val="00E95343"/>
    <w:rsid w:val="00E97333"/>
    <w:rsid w:val="00EA053E"/>
    <w:rsid w:val="00EA261C"/>
    <w:rsid w:val="00EA3ACF"/>
    <w:rsid w:val="00EA3BA8"/>
    <w:rsid w:val="00EA438D"/>
    <w:rsid w:val="00EA44BB"/>
    <w:rsid w:val="00EA4F9E"/>
    <w:rsid w:val="00EA50B0"/>
    <w:rsid w:val="00EA62D1"/>
    <w:rsid w:val="00EA6DC8"/>
    <w:rsid w:val="00EB092F"/>
    <w:rsid w:val="00EB0A4A"/>
    <w:rsid w:val="00EB34BA"/>
    <w:rsid w:val="00EB3C83"/>
    <w:rsid w:val="00EB6D1F"/>
    <w:rsid w:val="00EB77B2"/>
    <w:rsid w:val="00EB7C66"/>
    <w:rsid w:val="00EB7D2B"/>
    <w:rsid w:val="00EC12D4"/>
    <w:rsid w:val="00EC5920"/>
    <w:rsid w:val="00EC6F6C"/>
    <w:rsid w:val="00ED05DA"/>
    <w:rsid w:val="00ED0BC1"/>
    <w:rsid w:val="00ED0D94"/>
    <w:rsid w:val="00ED28CD"/>
    <w:rsid w:val="00ED5006"/>
    <w:rsid w:val="00ED58A5"/>
    <w:rsid w:val="00ED6C19"/>
    <w:rsid w:val="00ED6FA2"/>
    <w:rsid w:val="00EE1831"/>
    <w:rsid w:val="00EE1D8A"/>
    <w:rsid w:val="00EE31F9"/>
    <w:rsid w:val="00EE4683"/>
    <w:rsid w:val="00EE4F12"/>
    <w:rsid w:val="00EE50B3"/>
    <w:rsid w:val="00EE532A"/>
    <w:rsid w:val="00EE6668"/>
    <w:rsid w:val="00EE67FD"/>
    <w:rsid w:val="00EE6AD3"/>
    <w:rsid w:val="00EE6E8B"/>
    <w:rsid w:val="00EE7947"/>
    <w:rsid w:val="00EF027B"/>
    <w:rsid w:val="00EF02CC"/>
    <w:rsid w:val="00EF1B11"/>
    <w:rsid w:val="00EF1D9F"/>
    <w:rsid w:val="00EF2416"/>
    <w:rsid w:val="00EF3BDD"/>
    <w:rsid w:val="00EF40AC"/>
    <w:rsid w:val="00EF56A9"/>
    <w:rsid w:val="00F00E42"/>
    <w:rsid w:val="00F02BC1"/>
    <w:rsid w:val="00F04DBA"/>
    <w:rsid w:val="00F04E50"/>
    <w:rsid w:val="00F06F63"/>
    <w:rsid w:val="00F103A3"/>
    <w:rsid w:val="00F10E0D"/>
    <w:rsid w:val="00F136F9"/>
    <w:rsid w:val="00F142C3"/>
    <w:rsid w:val="00F14A5F"/>
    <w:rsid w:val="00F16700"/>
    <w:rsid w:val="00F17D68"/>
    <w:rsid w:val="00F212AF"/>
    <w:rsid w:val="00F2197E"/>
    <w:rsid w:val="00F22768"/>
    <w:rsid w:val="00F25944"/>
    <w:rsid w:val="00F268E8"/>
    <w:rsid w:val="00F26B5F"/>
    <w:rsid w:val="00F26B7A"/>
    <w:rsid w:val="00F273FF"/>
    <w:rsid w:val="00F27634"/>
    <w:rsid w:val="00F27CAE"/>
    <w:rsid w:val="00F3043E"/>
    <w:rsid w:val="00F31427"/>
    <w:rsid w:val="00F31B28"/>
    <w:rsid w:val="00F31B92"/>
    <w:rsid w:val="00F32547"/>
    <w:rsid w:val="00F3319D"/>
    <w:rsid w:val="00F33757"/>
    <w:rsid w:val="00F346D1"/>
    <w:rsid w:val="00F4041B"/>
    <w:rsid w:val="00F415C7"/>
    <w:rsid w:val="00F417C3"/>
    <w:rsid w:val="00F41AE2"/>
    <w:rsid w:val="00F428DA"/>
    <w:rsid w:val="00F42E69"/>
    <w:rsid w:val="00F431E3"/>
    <w:rsid w:val="00F44E6B"/>
    <w:rsid w:val="00F454E3"/>
    <w:rsid w:val="00F46492"/>
    <w:rsid w:val="00F4791E"/>
    <w:rsid w:val="00F5005F"/>
    <w:rsid w:val="00F500EE"/>
    <w:rsid w:val="00F51ABC"/>
    <w:rsid w:val="00F51D97"/>
    <w:rsid w:val="00F51E9D"/>
    <w:rsid w:val="00F53504"/>
    <w:rsid w:val="00F55061"/>
    <w:rsid w:val="00F57C7A"/>
    <w:rsid w:val="00F6102A"/>
    <w:rsid w:val="00F613B2"/>
    <w:rsid w:val="00F62EC9"/>
    <w:rsid w:val="00F64980"/>
    <w:rsid w:val="00F64E51"/>
    <w:rsid w:val="00F6692B"/>
    <w:rsid w:val="00F704F6"/>
    <w:rsid w:val="00F72025"/>
    <w:rsid w:val="00F7207D"/>
    <w:rsid w:val="00F72CC7"/>
    <w:rsid w:val="00F742DB"/>
    <w:rsid w:val="00F742F7"/>
    <w:rsid w:val="00F772D3"/>
    <w:rsid w:val="00F80006"/>
    <w:rsid w:val="00F80B08"/>
    <w:rsid w:val="00F80D22"/>
    <w:rsid w:val="00F82882"/>
    <w:rsid w:val="00F86478"/>
    <w:rsid w:val="00F8728F"/>
    <w:rsid w:val="00F8729B"/>
    <w:rsid w:val="00F8765A"/>
    <w:rsid w:val="00F87CD7"/>
    <w:rsid w:val="00F906C3"/>
    <w:rsid w:val="00F90700"/>
    <w:rsid w:val="00F91600"/>
    <w:rsid w:val="00F9337D"/>
    <w:rsid w:val="00F938E3"/>
    <w:rsid w:val="00F94DFD"/>
    <w:rsid w:val="00F954D6"/>
    <w:rsid w:val="00F969B1"/>
    <w:rsid w:val="00F9723F"/>
    <w:rsid w:val="00FA0A63"/>
    <w:rsid w:val="00FA28BD"/>
    <w:rsid w:val="00FA3D2A"/>
    <w:rsid w:val="00FA4E26"/>
    <w:rsid w:val="00FB037F"/>
    <w:rsid w:val="00FB3917"/>
    <w:rsid w:val="00FB52EB"/>
    <w:rsid w:val="00FB5D68"/>
    <w:rsid w:val="00FB6205"/>
    <w:rsid w:val="00FB6F11"/>
    <w:rsid w:val="00FB71E0"/>
    <w:rsid w:val="00FB7BEB"/>
    <w:rsid w:val="00FC13BE"/>
    <w:rsid w:val="00FC5229"/>
    <w:rsid w:val="00FC57A8"/>
    <w:rsid w:val="00FC640B"/>
    <w:rsid w:val="00FC7A6B"/>
    <w:rsid w:val="00FD0B83"/>
    <w:rsid w:val="00FD1550"/>
    <w:rsid w:val="00FD1C4A"/>
    <w:rsid w:val="00FD2CB9"/>
    <w:rsid w:val="00FD30E4"/>
    <w:rsid w:val="00FD64D2"/>
    <w:rsid w:val="00FD74F7"/>
    <w:rsid w:val="00FE0189"/>
    <w:rsid w:val="00FE061B"/>
    <w:rsid w:val="00FE0C63"/>
    <w:rsid w:val="00FE161E"/>
    <w:rsid w:val="00FE40BC"/>
    <w:rsid w:val="00FE462E"/>
    <w:rsid w:val="00FE58AD"/>
    <w:rsid w:val="00FF012A"/>
    <w:rsid w:val="00FF043E"/>
    <w:rsid w:val="00FF0BA3"/>
    <w:rsid w:val="00FF15CC"/>
    <w:rsid w:val="00FF1666"/>
    <w:rsid w:val="00FF1E36"/>
    <w:rsid w:val="00FF32C2"/>
    <w:rsid w:val="00FF4B56"/>
    <w:rsid w:val="00FF4E26"/>
    <w:rsid w:val="00FF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CE2159"/>
  <w15:chartTrackingRefBased/>
  <w15:docId w15:val="{4A5C4DBD-E721-429A-9B59-40639F91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1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A6"/>
    <w:rPr>
      <w:rFonts w:ascii="Segoe UI" w:hAnsi="Segoe UI" w:cs="Segoe UI"/>
      <w:sz w:val="18"/>
      <w:szCs w:val="18"/>
    </w:rPr>
  </w:style>
  <w:style w:type="character" w:styleId="CommentReference">
    <w:name w:val="annotation reference"/>
    <w:basedOn w:val="DefaultParagraphFont"/>
    <w:uiPriority w:val="99"/>
    <w:semiHidden/>
    <w:unhideWhenUsed/>
    <w:rsid w:val="00AE4309"/>
    <w:rPr>
      <w:sz w:val="16"/>
      <w:szCs w:val="16"/>
    </w:rPr>
  </w:style>
  <w:style w:type="paragraph" w:styleId="CommentText">
    <w:name w:val="annotation text"/>
    <w:basedOn w:val="Normal"/>
    <w:link w:val="CommentTextChar"/>
    <w:uiPriority w:val="99"/>
    <w:semiHidden/>
    <w:unhideWhenUsed/>
    <w:rsid w:val="00AE4309"/>
    <w:pPr>
      <w:spacing w:line="240" w:lineRule="auto"/>
    </w:pPr>
    <w:rPr>
      <w:sz w:val="20"/>
      <w:szCs w:val="20"/>
    </w:rPr>
  </w:style>
  <w:style w:type="character" w:customStyle="1" w:styleId="CommentTextChar">
    <w:name w:val="Comment Text Char"/>
    <w:basedOn w:val="DefaultParagraphFont"/>
    <w:link w:val="CommentText"/>
    <w:uiPriority w:val="99"/>
    <w:semiHidden/>
    <w:rsid w:val="00AE4309"/>
    <w:rPr>
      <w:sz w:val="20"/>
      <w:szCs w:val="20"/>
    </w:rPr>
  </w:style>
  <w:style w:type="paragraph" w:styleId="CommentSubject">
    <w:name w:val="annotation subject"/>
    <w:basedOn w:val="CommentText"/>
    <w:next w:val="CommentText"/>
    <w:link w:val="CommentSubjectChar"/>
    <w:uiPriority w:val="99"/>
    <w:semiHidden/>
    <w:unhideWhenUsed/>
    <w:rsid w:val="00AE4309"/>
    <w:rPr>
      <w:b/>
      <w:bCs/>
    </w:rPr>
  </w:style>
  <w:style w:type="character" w:customStyle="1" w:styleId="CommentSubjectChar">
    <w:name w:val="Comment Subject Char"/>
    <w:basedOn w:val="CommentTextChar"/>
    <w:link w:val="CommentSubject"/>
    <w:uiPriority w:val="99"/>
    <w:semiHidden/>
    <w:rsid w:val="00AE4309"/>
    <w:rPr>
      <w:b/>
      <w:bCs/>
      <w:sz w:val="20"/>
      <w:szCs w:val="20"/>
    </w:rPr>
  </w:style>
  <w:style w:type="paragraph" w:styleId="Header">
    <w:name w:val="header"/>
    <w:basedOn w:val="Normal"/>
    <w:link w:val="HeaderChar"/>
    <w:uiPriority w:val="99"/>
    <w:unhideWhenUsed/>
    <w:rsid w:val="00DE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014"/>
  </w:style>
  <w:style w:type="paragraph" w:styleId="Footer">
    <w:name w:val="footer"/>
    <w:basedOn w:val="Normal"/>
    <w:link w:val="FooterChar"/>
    <w:uiPriority w:val="99"/>
    <w:unhideWhenUsed/>
    <w:rsid w:val="00DE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014"/>
  </w:style>
  <w:style w:type="character" w:styleId="Hyperlink">
    <w:name w:val="Hyperlink"/>
    <w:basedOn w:val="DefaultParagraphFont"/>
    <w:uiPriority w:val="99"/>
    <w:unhideWhenUsed/>
    <w:rsid w:val="00672476"/>
    <w:rPr>
      <w:color w:val="0000FF"/>
      <w:u w:val="single"/>
    </w:rPr>
  </w:style>
  <w:style w:type="table" w:styleId="TableGrid">
    <w:name w:val="Table Grid"/>
    <w:basedOn w:val="TableNormal"/>
    <w:uiPriority w:val="39"/>
    <w:rsid w:val="0099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2D21"/>
    <w:rPr>
      <w:color w:val="954F72" w:themeColor="followedHyperlink"/>
      <w:u w:val="single"/>
    </w:rPr>
  </w:style>
  <w:style w:type="paragraph" w:styleId="ListParagraph">
    <w:name w:val="List Paragraph"/>
    <w:basedOn w:val="Normal"/>
    <w:uiPriority w:val="34"/>
    <w:qFormat/>
    <w:rsid w:val="00F16700"/>
    <w:pPr>
      <w:spacing w:after="0" w:line="240" w:lineRule="auto"/>
      <w:ind w:left="720"/>
      <w:contextualSpacing/>
    </w:pPr>
    <w:rPr>
      <w:rFonts w:ascii="Arial" w:eastAsia="Times New Roman" w:hAnsi="Arial" w:cs="Times New Roman"/>
      <w:sz w:val="24"/>
      <w:szCs w:val="20"/>
    </w:rPr>
  </w:style>
  <w:style w:type="character" w:customStyle="1" w:styleId="apple-converted-space">
    <w:name w:val="apple-converted-space"/>
    <w:basedOn w:val="DefaultParagraphFont"/>
    <w:rsid w:val="006C7A98"/>
  </w:style>
  <w:style w:type="character" w:styleId="UnresolvedMention">
    <w:name w:val="Unresolved Mention"/>
    <w:basedOn w:val="DefaultParagraphFont"/>
    <w:uiPriority w:val="99"/>
    <w:semiHidden/>
    <w:unhideWhenUsed/>
    <w:rsid w:val="0030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138">
      <w:bodyDiv w:val="1"/>
      <w:marLeft w:val="0"/>
      <w:marRight w:val="0"/>
      <w:marTop w:val="0"/>
      <w:marBottom w:val="0"/>
      <w:divBdr>
        <w:top w:val="none" w:sz="0" w:space="0" w:color="auto"/>
        <w:left w:val="none" w:sz="0" w:space="0" w:color="auto"/>
        <w:bottom w:val="none" w:sz="0" w:space="0" w:color="auto"/>
        <w:right w:val="none" w:sz="0" w:space="0" w:color="auto"/>
      </w:divBdr>
    </w:div>
    <w:div w:id="10109105">
      <w:bodyDiv w:val="1"/>
      <w:marLeft w:val="0"/>
      <w:marRight w:val="0"/>
      <w:marTop w:val="0"/>
      <w:marBottom w:val="0"/>
      <w:divBdr>
        <w:top w:val="none" w:sz="0" w:space="0" w:color="auto"/>
        <w:left w:val="none" w:sz="0" w:space="0" w:color="auto"/>
        <w:bottom w:val="none" w:sz="0" w:space="0" w:color="auto"/>
        <w:right w:val="none" w:sz="0" w:space="0" w:color="auto"/>
      </w:divBdr>
    </w:div>
    <w:div w:id="12072772">
      <w:bodyDiv w:val="1"/>
      <w:marLeft w:val="0"/>
      <w:marRight w:val="0"/>
      <w:marTop w:val="0"/>
      <w:marBottom w:val="0"/>
      <w:divBdr>
        <w:top w:val="none" w:sz="0" w:space="0" w:color="auto"/>
        <w:left w:val="none" w:sz="0" w:space="0" w:color="auto"/>
        <w:bottom w:val="none" w:sz="0" w:space="0" w:color="auto"/>
        <w:right w:val="none" w:sz="0" w:space="0" w:color="auto"/>
      </w:divBdr>
    </w:div>
    <w:div w:id="21561480">
      <w:bodyDiv w:val="1"/>
      <w:marLeft w:val="0"/>
      <w:marRight w:val="0"/>
      <w:marTop w:val="0"/>
      <w:marBottom w:val="0"/>
      <w:divBdr>
        <w:top w:val="none" w:sz="0" w:space="0" w:color="auto"/>
        <w:left w:val="none" w:sz="0" w:space="0" w:color="auto"/>
        <w:bottom w:val="none" w:sz="0" w:space="0" w:color="auto"/>
        <w:right w:val="none" w:sz="0" w:space="0" w:color="auto"/>
      </w:divBdr>
    </w:div>
    <w:div w:id="48500290">
      <w:bodyDiv w:val="1"/>
      <w:marLeft w:val="0"/>
      <w:marRight w:val="0"/>
      <w:marTop w:val="0"/>
      <w:marBottom w:val="0"/>
      <w:divBdr>
        <w:top w:val="none" w:sz="0" w:space="0" w:color="auto"/>
        <w:left w:val="none" w:sz="0" w:space="0" w:color="auto"/>
        <w:bottom w:val="none" w:sz="0" w:space="0" w:color="auto"/>
        <w:right w:val="none" w:sz="0" w:space="0" w:color="auto"/>
      </w:divBdr>
    </w:div>
    <w:div w:id="76485877">
      <w:bodyDiv w:val="1"/>
      <w:marLeft w:val="0"/>
      <w:marRight w:val="0"/>
      <w:marTop w:val="0"/>
      <w:marBottom w:val="0"/>
      <w:divBdr>
        <w:top w:val="none" w:sz="0" w:space="0" w:color="auto"/>
        <w:left w:val="none" w:sz="0" w:space="0" w:color="auto"/>
        <w:bottom w:val="none" w:sz="0" w:space="0" w:color="auto"/>
        <w:right w:val="none" w:sz="0" w:space="0" w:color="auto"/>
      </w:divBdr>
    </w:div>
    <w:div w:id="138767811">
      <w:bodyDiv w:val="1"/>
      <w:marLeft w:val="0"/>
      <w:marRight w:val="0"/>
      <w:marTop w:val="0"/>
      <w:marBottom w:val="0"/>
      <w:divBdr>
        <w:top w:val="none" w:sz="0" w:space="0" w:color="auto"/>
        <w:left w:val="none" w:sz="0" w:space="0" w:color="auto"/>
        <w:bottom w:val="none" w:sz="0" w:space="0" w:color="auto"/>
        <w:right w:val="none" w:sz="0" w:space="0" w:color="auto"/>
      </w:divBdr>
    </w:div>
    <w:div w:id="213859439">
      <w:bodyDiv w:val="1"/>
      <w:marLeft w:val="0"/>
      <w:marRight w:val="0"/>
      <w:marTop w:val="0"/>
      <w:marBottom w:val="0"/>
      <w:divBdr>
        <w:top w:val="none" w:sz="0" w:space="0" w:color="auto"/>
        <w:left w:val="none" w:sz="0" w:space="0" w:color="auto"/>
        <w:bottom w:val="none" w:sz="0" w:space="0" w:color="auto"/>
        <w:right w:val="none" w:sz="0" w:space="0" w:color="auto"/>
      </w:divBdr>
    </w:div>
    <w:div w:id="228350100">
      <w:bodyDiv w:val="1"/>
      <w:marLeft w:val="0"/>
      <w:marRight w:val="0"/>
      <w:marTop w:val="0"/>
      <w:marBottom w:val="0"/>
      <w:divBdr>
        <w:top w:val="none" w:sz="0" w:space="0" w:color="auto"/>
        <w:left w:val="none" w:sz="0" w:space="0" w:color="auto"/>
        <w:bottom w:val="none" w:sz="0" w:space="0" w:color="auto"/>
        <w:right w:val="none" w:sz="0" w:space="0" w:color="auto"/>
      </w:divBdr>
    </w:div>
    <w:div w:id="245186264">
      <w:bodyDiv w:val="1"/>
      <w:marLeft w:val="0"/>
      <w:marRight w:val="0"/>
      <w:marTop w:val="0"/>
      <w:marBottom w:val="0"/>
      <w:divBdr>
        <w:top w:val="none" w:sz="0" w:space="0" w:color="auto"/>
        <w:left w:val="none" w:sz="0" w:space="0" w:color="auto"/>
        <w:bottom w:val="none" w:sz="0" w:space="0" w:color="auto"/>
        <w:right w:val="none" w:sz="0" w:space="0" w:color="auto"/>
      </w:divBdr>
    </w:div>
    <w:div w:id="247543216">
      <w:bodyDiv w:val="1"/>
      <w:marLeft w:val="0"/>
      <w:marRight w:val="0"/>
      <w:marTop w:val="0"/>
      <w:marBottom w:val="0"/>
      <w:divBdr>
        <w:top w:val="none" w:sz="0" w:space="0" w:color="auto"/>
        <w:left w:val="none" w:sz="0" w:space="0" w:color="auto"/>
        <w:bottom w:val="none" w:sz="0" w:space="0" w:color="auto"/>
        <w:right w:val="none" w:sz="0" w:space="0" w:color="auto"/>
      </w:divBdr>
    </w:div>
    <w:div w:id="279462428">
      <w:bodyDiv w:val="1"/>
      <w:marLeft w:val="0"/>
      <w:marRight w:val="0"/>
      <w:marTop w:val="0"/>
      <w:marBottom w:val="0"/>
      <w:divBdr>
        <w:top w:val="none" w:sz="0" w:space="0" w:color="auto"/>
        <w:left w:val="none" w:sz="0" w:space="0" w:color="auto"/>
        <w:bottom w:val="none" w:sz="0" w:space="0" w:color="auto"/>
        <w:right w:val="none" w:sz="0" w:space="0" w:color="auto"/>
      </w:divBdr>
    </w:div>
    <w:div w:id="290136483">
      <w:bodyDiv w:val="1"/>
      <w:marLeft w:val="0"/>
      <w:marRight w:val="0"/>
      <w:marTop w:val="0"/>
      <w:marBottom w:val="0"/>
      <w:divBdr>
        <w:top w:val="none" w:sz="0" w:space="0" w:color="auto"/>
        <w:left w:val="none" w:sz="0" w:space="0" w:color="auto"/>
        <w:bottom w:val="none" w:sz="0" w:space="0" w:color="auto"/>
        <w:right w:val="none" w:sz="0" w:space="0" w:color="auto"/>
      </w:divBdr>
    </w:div>
    <w:div w:id="330911746">
      <w:bodyDiv w:val="1"/>
      <w:marLeft w:val="0"/>
      <w:marRight w:val="0"/>
      <w:marTop w:val="0"/>
      <w:marBottom w:val="0"/>
      <w:divBdr>
        <w:top w:val="none" w:sz="0" w:space="0" w:color="auto"/>
        <w:left w:val="none" w:sz="0" w:space="0" w:color="auto"/>
        <w:bottom w:val="none" w:sz="0" w:space="0" w:color="auto"/>
        <w:right w:val="none" w:sz="0" w:space="0" w:color="auto"/>
      </w:divBdr>
    </w:div>
    <w:div w:id="359359941">
      <w:bodyDiv w:val="1"/>
      <w:marLeft w:val="0"/>
      <w:marRight w:val="0"/>
      <w:marTop w:val="0"/>
      <w:marBottom w:val="0"/>
      <w:divBdr>
        <w:top w:val="none" w:sz="0" w:space="0" w:color="auto"/>
        <w:left w:val="none" w:sz="0" w:space="0" w:color="auto"/>
        <w:bottom w:val="none" w:sz="0" w:space="0" w:color="auto"/>
        <w:right w:val="none" w:sz="0" w:space="0" w:color="auto"/>
      </w:divBdr>
    </w:div>
    <w:div w:id="403793598">
      <w:bodyDiv w:val="1"/>
      <w:marLeft w:val="0"/>
      <w:marRight w:val="0"/>
      <w:marTop w:val="0"/>
      <w:marBottom w:val="0"/>
      <w:divBdr>
        <w:top w:val="none" w:sz="0" w:space="0" w:color="auto"/>
        <w:left w:val="none" w:sz="0" w:space="0" w:color="auto"/>
        <w:bottom w:val="none" w:sz="0" w:space="0" w:color="auto"/>
        <w:right w:val="none" w:sz="0" w:space="0" w:color="auto"/>
      </w:divBdr>
    </w:div>
    <w:div w:id="438111266">
      <w:bodyDiv w:val="1"/>
      <w:marLeft w:val="0"/>
      <w:marRight w:val="0"/>
      <w:marTop w:val="0"/>
      <w:marBottom w:val="0"/>
      <w:divBdr>
        <w:top w:val="none" w:sz="0" w:space="0" w:color="auto"/>
        <w:left w:val="none" w:sz="0" w:space="0" w:color="auto"/>
        <w:bottom w:val="none" w:sz="0" w:space="0" w:color="auto"/>
        <w:right w:val="none" w:sz="0" w:space="0" w:color="auto"/>
      </w:divBdr>
    </w:div>
    <w:div w:id="452091766">
      <w:bodyDiv w:val="1"/>
      <w:marLeft w:val="0"/>
      <w:marRight w:val="0"/>
      <w:marTop w:val="0"/>
      <w:marBottom w:val="0"/>
      <w:divBdr>
        <w:top w:val="none" w:sz="0" w:space="0" w:color="auto"/>
        <w:left w:val="none" w:sz="0" w:space="0" w:color="auto"/>
        <w:bottom w:val="none" w:sz="0" w:space="0" w:color="auto"/>
        <w:right w:val="none" w:sz="0" w:space="0" w:color="auto"/>
      </w:divBdr>
    </w:div>
    <w:div w:id="485516050">
      <w:bodyDiv w:val="1"/>
      <w:marLeft w:val="0"/>
      <w:marRight w:val="0"/>
      <w:marTop w:val="0"/>
      <w:marBottom w:val="0"/>
      <w:divBdr>
        <w:top w:val="none" w:sz="0" w:space="0" w:color="auto"/>
        <w:left w:val="none" w:sz="0" w:space="0" w:color="auto"/>
        <w:bottom w:val="none" w:sz="0" w:space="0" w:color="auto"/>
        <w:right w:val="none" w:sz="0" w:space="0" w:color="auto"/>
      </w:divBdr>
    </w:div>
    <w:div w:id="488324148">
      <w:bodyDiv w:val="1"/>
      <w:marLeft w:val="0"/>
      <w:marRight w:val="0"/>
      <w:marTop w:val="0"/>
      <w:marBottom w:val="0"/>
      <w:divBdr>
        <w:top w:val="none" w:sz="0" w:space="0" w:color="auto"/>
        <w:left w:val="none" w:sz="0" w:space="0" w:color="auto"/>
        <w:bottom w:val="none" w:sz="0" w:space="0" w:color="auto"/>
        <w:right w:val="none" w:sz="0" w:space="0" w:color="auto"/>
      </w:divBdr>
    </w:div>
    <w:div w:id="502284209">
      <w:bodyDiv w:val="1"/>
      <w:marLeft w:val="0"/>
      <w:marRight w:val="0"/>
      <w:marTop w:val="0"/>
      <w:marBottom w:val="0"/>
      <w:divBdr>
        <w:top w:val="none" w:sz="0" w:space="0" w:color="auto"/>
        <w:left w:val="none" w:sz="0" w:space="0" w:color="auto"/>
        <w:bottom w:val="none" w:sz="0" w:space="0" w:color="auto"/>
        <w:right w:val="none" w:sz="0" w:space="0" w:color="auto"/>
      </w:divBdr>
    </w:div>
    <w:div w:id="532423970">
      <w:bodyDiv w:val="1"/>
      <w:marLeft w:val="0"/>
      <w:marRight w:val="0"/>
      <w:marTop w:val="0"/>
      <w:marBottom w:val="0"/>
      <w:divBdr>
        <w:top w:val="none" w:sz="0" w:space="0" w:color="auto"/>
        <w:left w:val="none" w:sz="0" w:space="0" w:color="auto"/>
        <w:bottom w:val="none" w:sz="0" w:space="0" w:color="auto"/>
        <w:right w:val="none" w:sz="0" w:space="0" w:color="auto"/>
      </w:divBdr>
      <w:divsChild>
        <w:div w:id="162203736">
          <w:marLeft w:val="0"/>
          <w:marRight w:val="0"/>
          <w:marTop w:val="0"/>
          <w:marBottom w:val="0"/>
          <w:divBdr>
            <w:top w:val="none" w:sz="0" w:space="0" w:color="auto"/>
            <w:left w:val="none" w:sz="0" w:space="0" w:color="auto"/>
            <w:bottom w:val="none" w:sz="0" w:space="0" w:color="auto"/>
            <w:right w:val="none" w:sz="0" w:space="0" w:color="auto"/>
          </w:divBdr>
          <w:divsChild>
            <w:div w:id="1845391164">
              <w:marLeft w:val="0"/>
              <w:marRight w:val="0"/>
              <w:marTop w:val="0"/>
              <w:marBottom w:val="0"/>
              <w:divBdr>
                <w:top w:val="none" w:sz="0" w:space="0" w:color="auto"/>
                <w:left w:val="none" w:sz="0" w:space="0" w:color="auto"/>
                <w:bottom w:val="none" w:sz="0" w:space="0" w:color="auto"/>
                <w:right w:val="none" w:sz="0" w:space="0" w:color="auto"/>
              </w:divBdr>
              <w:divsChild>
                <w:div w:id="428476099">
                  <w:marLeft w:val="0"/>
                  <w:marRight w:val="0"/>
                  <w:marTop w:val="0"/>
                  <w:marBottom w:val="0"/>
                  <w:divBdr>
                    <w:top w:val="none" w:sz="0" w:space="0" w:color="auto"/>
                    <w:left w:val="none" w:sz="0" w:space="0" w:color="auto"/>
                    <w:bottom w:val="none" w:sz="0" w:space="0" w:color="auto"/>
                    <w:right w:val="none" w:sz="0" w:space="0" w:color="auto"/>
                  </w:divBdr>
                  <w:divsChild>
                    <w:div w:id="668950859">
                      <w:marLeft w:val="0"/>
                      <w:marRight w:val="0"/>
                      <w:marTop w:val="0"/>
                      <w:marBottom w:val="0"/>
                      <w:divBdr>
                        <w:top w:val="none" w:sz="0" w:space="0" w:color="auto"/>
                        <w:left w:val="none" w:sz="0" w:space="0" w:color="auto"/>
                        <w:bottom w:val="none" w:sz="0" w:space="0" w:color="auto"/>
                        <w:right w:val="none" w:sz="0" w:space="0" w:color="auto"/>
                      </w:divBdr>
                      <w:divsChild>
                        <w:div w:id="531918036">
                          <w:marLeft w:val="0"/>
                          <w:marRight w:val="0"/>
                          <w:marTop w:val="0"/>
                          <w:marBottom w:val="0"/>
                          <w:divBdr>
                            <w:top w:val="none" w:sz="0" w:space="0" w:color="auto"/>
                            <w:left w:val="single" w:sz="2" w:space="0" w:color="BCBCBC"/>
                            <w:bottom w:val="none" w:sz="0" w:space="0" w:color="auto"/>
                            <w:right w:val="single" w:sz="2" w:space="0" w:color="BCBCBC"/>
                          </w:divBdr>
                          <w:divsChild>
                            <w:div w:id="5966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88784">
      <w:bodyDiv w:val="1"/>
      <w:marLeft w:val="0"/>
      <w:marRight w:val="0"/>
      <w:marTop w:val="0"/>
      <w:marBottom w:val="0"/>
      <w:divBdr>
        <w:top w:val="none" w:sz="0" w:space="0" w:color="auto"/>
        <w:left w:val="none" w:sz="0" w:space="0" w:color="auto"/>
        <w:bottom w:val="none" w:sz="0" w:space="0" w:color="auto"/>
        <w:right w:val="none" w:sz="0" w:space="0" w:color="auto"/>
      </w:divBdr>
      <w:divsChild>
        <w:div w:id="1577547750">
          <w:marLeft w:val="0"/>
          <w:marRight w:val="0"/>
          <w:marTop w:val="0"/>
          <w:marBottom w:val="0"/>
          <w:divBdr>
            <w:top w:val="none" w:sz="0" w:space="0" w:color="auto"/>
            <w:left w:val="none" w:sz="0" w:space="0" w:color="auto"/>
            <w:bottom w:val="none" w:sz="0" w:space="0" w:color="auto"/>
            <w:right w:val="none" w:sz="0" w:space="0" w:color="auto"/>
          </w:divBdr>
        </w:div>
      </w:divsChild>
    </w:div>
    <w:div w:id="596913210">
      <w:bodyDiv w:val="1"/>
      <w:marLeft w:val="0"/>
      <w:marRight w:val="0"/>
      <w:marTop w:val="0"/>
      <w:marBottom w:val="0"/>
      <w:divBdr>
        <w:top w:val="none" w:sz="0" w:space="0" w:color="auto"/>
        <w:left w:val="none" w:sz="0" w:space="0" w:color="auto"/>
        <w:bottom w:val="none" w:sz="0" w:space="0" w:color="auto"/>
        <w:right w:val="none" w:sz="0" w:space="0" w:color="auto"/>
      </w:divBdr>
    </w:div>
    <w:div w:id="598680686">
      <w:bodyDiv w:val="1"/>
      <w:marLeft w:val="0"/>
      <w:marRight w:val="0"/>
      <w:marTop w:val="0"/>
      <w:marBottom w:val="0"/>
      <w:divBdr>
        <w:top w:val="none" w:sz="0" w:space="0" w:color="auto"/>
        <w:left w:val="none" w:sz="0" w:space="0" w:color="auto"/>
        <w:bottom w:val="none" w:sz="0" w:space="0" w:color="auto"/>
        <w:right w:val="none" w:sz="0" w:space="0" w:color="auto"/>
      </w:divBdr>
    </w:div>
    <w:div w:id="599289949">
      <w:bodyDiv w:val="1"/>
      <w:marLeft w:val="0"/>
      <w:marRight w:val="0"/>
      <w:marTop w:val="0"/>
      <w:marBottom w:val="0"/>
      <w:divBdr>
        <w:top w:val="none" w:sz="0" w:space="0" w:color="auto"/>
        <w:left w:val="none" w:sz="0" w:space="0" w:color="auto"/>
        <w:bottom w:val="none" w:sz="0" w:space="0" w:color="auto"/>
        <w:right w:val="none" w:sz="0" w:space="0" w:color="auto"/>
      </w:divBdr>
    </w:div>
    <w:div w:id="600799799">
      <w:bodyDiv w:val="1"/>
      <w:marLeft w:val="0"/>
      <w:marRight w:val="0"/>
      <w:marTop w:val="0"/>
      <w:marBottom w:val="0"/>
      <w:divBdr>
        <w:top w:val="none" w:sz="0" w:space="0" w:color="auto"/>
        <w:left w:val="none" w:sz="0" w:space="0" w:color="auto"/>
        <w:bottom w:val="none" w:sz="0" w:space="0" w:color="auto"/>
        <w:right w:val="none" w:sz="0" w:space="0" w:color="auto"/>
      </w:divBdr>
    </w:div>
    <w:div w:id="602806693">
      <w:bodyDiv w:val="1"/>
      <w:marLeft w:val="0"/>
      <w:marRight w:val="0"/>
      <w:marTop w:val="0"/>
      <w:marBottom w:val="0"/>
      <w:divBdr>
        <w:top w:val="none" w:sz="0" w:space="0" w:color="auto"/>
        <w:left w:val="none" w:sz="0" w:space="0" w:color="auto"/>
        <w:bottom w:val="none" w:sz="0" w:space="0" w:color="auto"/>
        <w:right w:val="none" w:sz="0" w:space="0" w:color="auto"/>
      </w:divBdr>
    </w:div>
    <w:div w:id="696203272">
      <w:bodyDiv w:val="1"/>
      <w:marLeft w:val="0"/>
      <w:marRight w:val="0"/>
      <w:marTop w:val="0"/>
      <w:marBottom w:val="0"/>
      <w:divBdr>
        <w:top w:val="none" w:sz="0" w:space="0" w:color="auto"/>
        <w:left w:val="none" w:sz="0" w:space="0" w:color="auto"/>
        <w:bottom w:val="none" w:sz="0" w:space="0" w:color="auto"/>
        <w:right w:val="none" w:sz="0" w:space="0" w:color="auto"/>
      </w:divBdr>
    </w:div>
    <w:div w:id="724455022">
      <w:bodyDiv w:val="1"/>
      <w:marLeft w:val="0"/>
      <w:marRight w:val="0"/>
      <w:marTop w:val="0"/>
      <w:marBottom w:val="0"/>
      <w:divBdr>
        <w:top w:val="none" w:sz="0" w:space="0" w:color="auto"/>
        <w:left w:val="none" w:sz="0" w:space="0" w:color="auto"/>
        <w:bottom w:val="none" w:sz="0" w:space="0" w:color="auto"/>
        <w:right w:val="none" w:sz="0" w:space="0" w:color="auto"/>
      </w:divBdr>
    </w:div>
    <w:div w:id="739837947">
      <w:bodyDiv w:val="1"/>
      <w:marLeft w:val="0"/>
      <w:marRight w:val="0"/>
      <w:marTop w:val="0"/>
      <w:marBottom w:val="0"/>
      <w:divBdr>
        <w:top w:val="none" w:sz="0" w:space="0" w:color="auto"/>
        <w:left w:val="none" w:sz="0" w:space="0" w:color="auto"/>
        <w:bottom w:val="none" w:sz="0" w:space="0" w:color="auto"/>
        <w:right w:val="none" w:sz="0" w:space="0" w:color="auto"/>
      </w:divBdr>
    </w:div>
    <w:div w:id="744959865">
      <w:bodyDiv w:val="1"/>
      <w:marLeft w:val="0"/>
      <w:marRight w:val="0"/>
      <w:marTop w:val="0"/>
      <w:marBottom w:val="0"/>
      <w:divBdr>
        <w:top w:val="none" w:sz="0" w:space="0" w:color="auto"/>
        <w:left w:val="none" w:sz="0" w:space="0" w:color="auto"/>
        <w:bottom w:val="none" w:sz="0" w:space="0" w:color="auto"/>
        <w:right w:val="none" w:sz="0" w:space="0" w:color="auto"/>
      </w:divBdr>
    </w:div>
    <w:div w:id="750473232">
      <w:bodyDiv w:val="1"/>
      <w:marLeft w:val="0"/>
      <w:marRight w:val="0"/>
      <w:marTop w:val="0"/>
      <w:marBottom w:val="0"/>
      <w:divBdr>
        <w:top w:val="none" w:sz="0" w:space="0" w:color="auto"/>
        <w:left w:val="none" w:sz="0" w:space="0" w:color="auto"/>
        <w:bottom w:val="none" w:sz="0" w:space="0" w:color="auto"/>
        <w:right w:val="none" w:sz="0" w:space="0" w:color="auto"/>
      </w:divBdr>
    </w:div>
    <w:div w:id="756636567">
      <w:bodyDiv w:val="1"/>
      <w:marLeft w:val="0"/>
      <w:marRight w:val="0"/>
      <w:marTop w:val="0"/>
      <w:marBottom w:val="0"/>
      <w:divBdr>
        <w:top w:val="none" w:sz="0" w:space="0" w:color="auto"/>
        <w:left w:val="none" w:sz="0" w:space="0" w:color="auto"/>
        <w:bottom w:val="none" w:sz="0" w:space="0" w:color="auto"/>
        <w:right w:val="none" w:sz="0" w:space="0" w:color="auto"/>
      </w:divBdr>
    </w:div>
    <w:div w:id="794755842">
      <w:bodyDiv w:val="1"/>
      <w:marLeft w:val="0"/>
      <w:marRight w:val="0"/>
      <w:marTop w:val="0"/>
      <w:marBottom w:val="0"/>
      <w:divBdr>
        <w:top w:val="none" w:sz="0" w:space="0" w:color="auto"/>
        <w:left w:val="none" w:sz="0" w:space="0" w:color="auto"/>
        <w:bottom w:val="none" w:sz="0" w:space="0" w:color="auto"/>
        <w:right w:val="none" w:sz="0" w:space="0" w:color="auto"/>
      </w:divBdr>
      <w:divsChild>
        <w:div w:id="1982224540">
          <w:marLeft w:val="0"/>
          <w:marRight w:val="0"/>
          <w:marTop w:val="0"/>
          <w:marBottom w:val="0"/>
          <w:divBdr>
            <w:top w:val="none" w:sz="0" w:space="0" w:color="auto"/>
            <w:left w:val="none" w:sz="0" w:space="0" w:color="auto"/>
            <w:bottom w:val="none" w:sz="0" w:space="0" w:color="auto"/>
            <w:right w:val="none" w:sz="0" w:space="0" w:color="auto"/>
          </w:divBdr>
        </w:div>
      </w:divsChild>
    </w:div>
    <w:div w:id="826169899">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899905228">
      <w:bodyDiv w:val="1"/>
      <w:marLeft w:val="0"/>
      <w:marRight w:val="0"/>
      <w:marTop w:val="0"/>
      <w:marBottom w:val="0"/>
      <w:divBdr>
        <w:top w:val="none" w:sz="0" w:space="0" w:color="auto"/>
        <w:left w:val="none" w:sz="0" w:space="0" w:color="auto"/>
        <w:bottom w:val="none" w:sz="0" w:space="0" w:color="auto"/>
        <w:right w:val="none" w:sz="0" w:space="0" w:color="auto"/>
      </w:divBdr>
    </w:div>
    <w:div w:id="910383446">
      <w:bodyDiv w:val="1"/>
      <w:marLeft w:val="0"/>
      <w:marRight w:val="0"/>
      <w:marTop w:val="0"/>
      <w:marBottom w:val="0"/>
      <w:divBdr>
        <w:top w:val="none" w:sz="0" w:space="0" w:color="auto"/>
        <w:left w:val="none" w:sz="0" w:space="0" w:color="auto"/>
        <w:bottom w:val="none" w:sz="0" w:space="0" w:color="auto"/>
        <w:right w:val="none" w:sz="0" w:space="0" w:color="auto"/>
      </w:divBdr>
    </w:div>
    <w:div w:id="928850724">
      <w:bodyDiv w:val="1"/>
      <w:marLeft w:val="0"/>
      <w:marRight w:val="0"/>
      <w:marTop w:val="0"/>
      <w:marBottom w:val="0"/>
      <w:divBdr>
        <w:top w:val="none" w:sz="0" w:space="0" w:color="auto"/>
        <w:left w:val="none" w:sz="0" w:space="0" w:color="auto"/>
        <w:bottom w:val="none" w:sz="0" w:space="0" w:color="auto"/>
        <w:right w:val="none" w:sz="0" w:space="0" w:color="auto"/>
      </w:divBdr>
    </w:div>
    <w:div w:id="964966347">
      <w:bodyDiv w:val="1"/>
      <w:marLeft w:val="0"/>
      <w:marRight w:val="0"/>
      <w:marTop w:val="0"/>
      <w:marBottom w:val="0"/>
      <w:divBdr>
        <w:top w:val="none" w:sz="0" w:space="0" w:color="auto"/>
        <w:left w:val="none" w:sz="0" w:space="0" w:color="auto"/>
        <w:bottom w:val="none" w:sz="0" w:space="0" w:color="auto"/>
        <w:right w:val="none" w:sz="0" w:space="0" w:color="auto"/>
      </w:divBdr>
    </w:div>
    <w:div w:id="976571111">
      <w:bodyDiv w:val="1"/>
      <w:marLeft w:val="0"/>
      <w:marRight w:val="0"/>
      <w:marTop w:val="0"/>
      <w:marBottom w:val="0"/>
      <w:divBdr>
        <w:top w:val="none" w:sz="0" w:space="0" w:color="auto"/>
        <w:left w:val="none" w:sz="0" w:space="0" w:color="auto"/>
        <w:bottom w:val="none" w:sz="0" w:space="0" w:color="auto"/>
        <w:right w:val="none" w:sz="0" w:space="0" w:color="auto"/>
      </w:divBdr>
    </w:div>
    <w:div w:id="990478146">
      <w:bodyDiv w:val="1"/>
      <w:marLeft w:val="0"/>
      <w:marRight w:val="0"/>
      <w:marTop w:val="0"/>
      <w:marBottom w:val="0"/>
      <w:divBdr>
        <w:top w:val="none" w:sz="0" w:space="0" w:color="auto"/>
        <w:left w:val="none" w:sz="0" w:space="0" w:color="auto"/>
        <w:bottom w:val="none" w:sz="0" w:space="0" w:color="auto"/>
        <w:right w:val="none" w:sz="0" w:space="0" w:color="auto"/>
      </w:divBdr>
    </w:div>
    <w:div w:id="1054698634">
      <w:bodyDiv w:val="1"/>
      <w:marLeft w:val="0"/>
      <w:marRight w:val="0"/>
      <w:marTop w:val="0"/>
      <w:marBottom w:val="0"/>
      <w:divBdr>
        <w:top w:val="none" w:sz="0" w:space="0" w:color="auto"/>
        <w:left w:val="none" w:sz="0" w:space="0" w:color="auto"/>
        <w:bottom w:val="none" w:sz="0" w:space="0" w:color="auto"/>
        <w:right w:val="none" w:sz="0" w:space="0" w:color="auto"/>
      </w:divBdr>
    </w:div>
    <w:div w:id="1055550189">
      <w:bodyDiv w:val="1"/>
      <w:marLeft w:val="0"/>
      <w:marRight w:val="0"/>
      <w:marTop w:val="0"/>
      <w:marBottom w:val="0"/>
      <w:divBdr>
        <w:top w:val="none" w:sz="0" w:space="0" w:color="auto"/>
        <w:left w:val="none" w:sz="0" w:space="0" w:color="auto"/>
        <w:bottom w:val="none" w:sz="0" w:space="0" w:color="auto"/>
        <w:right w:val="none" w:sz="0" w:space="0" w:color="auto"/>
      </w:divBdr>
    </w:div>
    <w:div w:id="1141114682">
      <w:bodyDiv w:val="1"/>
      <w:marLeft w:val="0"/>
      <w:marRight w:val="0"/>
      <w:marTop w:val="0"/>
      <w:marBottom w:val="0"/>
      <w:divBdr>
        <w:top w:val="none" w:sz="0" w:space="0" w:color="auto"/>
        <w:left w:val="none" w:sz="0" w:space="0" w:color="auto"/>
        <w:bottom w:val="none" w:sz="0" w:space="0" w:color="auto"/>
        <w:right w:val="none" w:sz="0" w:space="0" w:color="auto"/>
      </w:divBdr>
    </w:div>
    <w:div w:id="1163668329">
      <w:bodyDiv w:val="1"/>
      <w:marLeft w:val="0"/>
      <w:marRight w:val="0"/>
      <w:marTop w:val="0"/>
      <w:marBottom w:val="0"/>
      <w:divBdr>
        <w:top w:val="none" w:sz="0" w:space="0" w:color="auto"/>
        <w:left w:val="none" w:sz="0" w:space="0" w:color="auto"/>
        <w:bottom w:val="none" w:sz="0" w:space="0" w:color="auto"/>
        <w:right w:val="none" w:sz="0" w:space="0" w:color="auto"/>
      </w:divBdr>
    </w:div>
    <w:div w:id="1182473629">
      <w:bodyDiv w:val="1"/>
      <w:marLeft w:val="0"/>
      <w:marRight w:val="0"/>
      <w:marTop w:val="0"/>
      <w:marBottom w:val="0"/>
      <w:divBdr>
        <w:top w:val="none" w:sz="0" w:space="0" w:color="auto"/>
        <w:left w:val="none" w:sz="0" w:space="0" w:color="auto"/>
        <w:bottom w:val="none" w:sz="0" w:space="0" w:color="auto"/>
        <w:right w:val="none" w:sz="0" w:space="0" w:color="auto"/>
      </w:divBdr>
    </w:div>
    <w:div w:id="1232961064">
      <w:bodyDiv w:val="1"/>
      <w:marLeft w:val="0"/>
      <w:marRight w:val="0"/>
      <w:marTop w:val="0"/>
      <w:marBottom w:val="0"/>
      <w:divBdr>
        <w:top w:val="none" w:sz="0" w:space="0" w:color="auto"/>
        <w:left w:val="none" w:sz="0" w:space="0" w:color="auto"/>
        <w:bottom w:val="none" w:sz="0" w:space="0" w:color="auto"/>
        <w:right w:val="none" w:sz="0" w:space="0" w:color="auto"/>
      </w:divBdr>
    </w:div>
    <w:div w:id="1410614488">
      <w:bodyDiv w:val="1"/>
      <w:marLeft w:val="0"/>
      <w:marRight w:val="0"/>
      <w:marTop w:val="0"/>
      <w:marBottom w:val="0"/>
      <w:divBdr>
        <w:top w:val="none" w:sz="0" w:space="0" w:color="auto"/>
        <w:left w:val="none" w:sz="0" w:space="0" w:color="auto"/>
        <w:bottom w:val="none" w:sz="0" w:space="0" w:color="auto"/>
        <w:right w:val="none" w:sz="0" w:space="0" w:color="auto"/>
      </w:divBdr>
    </w:div>
    <w:div w:id="1455561637">
      <w:bodyDiv w:val="1"/>
      <w:marLeft w:val="0"/>
      <w:marRight w:val="0"/>
      <w:marTop w:val="0"/>
      <w:marBottom w:val="0"/>
      <w:divBdr>
        <w:top w:val="none" w:sz="0" w:space="0" w:color="auto"/>
        <w:left w:val="none" w:sz="0" w:space="0" w:color="auto"/>
        <w:bottom w:val="none" w:sz="0" w:space="0" w:color="auto"/>
        <w:right w:val="none" w:sz="0" w:space="0" w:color="auto"/>
      </w:divBdr>
    </w:div>
    <w:div w:id="1501920866">
      <w:bodyDiv w:val="1"/>
      <w:marLeft w:val="0"/>
      <w:marRight w:val="0"/>
      <w:marTop w:val="0"/>
      <w:marBottom w:val="0"/>
      <w:divBdr>
        <w:top w:val="none" w:sz="0" w:space="0" w:color="auto"/>
        <w:left w:val="none" w:sz="0" w:space="0" w:color="auto"/>
        <w:bottom w:val="none" w:sz="0" w:space="0" w:color="auto"/>
        <w:right w:val="none" w:sz="0" w:space="0" w:color="auto"/>
      </w:divBdr>
    </w:div>
    <w:div w:id="1559393623">
      <w:bodyDiv w:val="1"/>
      <w:marLeft w:val="0"/>
      <w:marRight w:val="0"/>
      <w:marTop w:val="0"/>
      <w:marBottom w:val="0"/>
      <w:divBdr>
        <w:top w:val="none" w:sz="0" w:space="0" w:color="auto"/>
        <w:left w:val="none" w:sz="0" w:space="0" w:color="auto"/>
        <w:bottom w:val="none" w:sz="0" w:space="0" w:color="auto"/>
        <w:right w:val="none" w:sz="0" w:space="0" w:color="auto"/>
      </w:divBdr>
    </w:div>
    <w:div w:id="1610090197">
      <w:bodyDiv w:val="1"/>
      <w:marLeft w:val="0"/>
      <w:marRight w:val="0"/>
      <w:marTop w:val="0"/>
      <w:marBottom w:val="0"/>
      <w:divBdr>
        <w:top w:val="none" w:sz="0" w:space="0" w:color="auto"/>
        <w:left w:val="none" w:sz="0" w:space="0" w:color="auto"/>
        <w:bottom w:val="none" w:sz="0" w:space="0" w:color="auto"/>
        <w:right w:val="none" w:sz="0" w:space="0" w:color="auto"/>
      </w:divBdr>
    </w:div>
    <w:div w:id="1660696083">
      <w:bodyDiv w:val="1"/>
      <w:marLeft w:val="0"/>
      <w:marRight w:val="0"/>
      <w:marTop w:val="0"/>
      <w:marBottom w:val="0"/>
      <w:divBdr>
        <w:top w:val="none" w:sz="0" w:space="0" w:color="auto"/>
        <w:left w:val="none" w:sz="0" w:space="0" w:color="auto"/>
        <w:bottom w:val="none" w:sz="0" w:space="0" w:color="auto"/>
        <w:right w:val="none" w:sz="0" w:space="0" w:color="auto"/>
      </w:divBdr>
    </w:div>
    <w:div w:id="1725837723">
      <w:bodyDiv w:val="1"/>
      <w:marLeft w:val="0"/>
      <w:marRight w:val="0"/>
      <w:marTop w:val="0"/>
      <w:marBottom w:val="0"/>
      <w:divBdr>
        <w:top w:val="none" w:sz="0" w:space="0" w:color="auto"/>
        <w:left w:val="none" w:sz="0" w:space="0" w:color="auto"/>
        <w:bottom w:val="none" w:sz="0" w:space="0" w:color="auto"/>
        <w:right w:val="none" w:sz="0" w:space="0" w:color="auto"/>
      </w:divBdr>
    </w:div>
    <w:div w:id="1781559921">
      <w:bodyDiv w:val="1"/>
      <w:marLeft w:val="0"/>
      <w:marRight w:val="0"/>
      <w:marTop w:val="0"/>
      <w:marBottom w:val="0"/>
      <w:divBdr>
        <w:top w:val="none" w:sz="0" w:space="0" w:color="auto"/>
        <w:left w:val="none" w:sz="0" w:space="0" w:color="auto"/>
        <w:bottom w:val="none" w:sz="0" w:space="0" w:color="auto"/>
        <w:right w:val="none" w:sz="0" w:space="0" w:color="auto"/>
      </w:divBdr>
    </w:div>
    <w:div w:id="1789818301">
      <w:bodyDiv w:val="1"/>
      <w:marLeft w:val="0"/>
      <w:marRight w:val="0"/>
      <w:marTop w:val="0"/>
      <w:marBottom w:val="0"/>
      <w:divBdr>
        <w:top w:val="none" w:sz="0" w:space="0" w:color="auto"/>
        <w:left w:val="none" w:sz="0" w:space="0" w:color="auto"/>
        <w:bottom w:val="none" w:sz="0" w:space="0" w:color="auto"/>
        <w:right w:val="none" w:sz="0" w:space="0" w:color="auto"/>
      </w:divBdr>
    </w:div>
    <w:div w:id="1834374842">
      <w:bodyDiv w:val="1"/>
      <w:marLeft w:val="0"/>
      <w:marRight w:val="0"/>
      <w:marTop w:val="0"/>
      <w:marBottom w:val="0"/>
      <w:divBdr>
        <w:top w:val="none" w:sz="0" w:space="0" w:color="auto"/>
        <w:left w:val="none" w:sz="0" w:space="0" w:color="auto"/>
        <w:bottom w:val="none" w:sz="0" w:space="0" w:color="auto"/>
        <w:right w:val="none" w:sz="0" w:space="0" w:color="auto"/>
      </w:divBdr>
    </w:div>
    <w:div w:id="1841391246">
      <w:bodyDiv w:val="1"/>
      <w:marLeft w:val="0"/>
      <w:marRight w:val="0"/>
      <w:marTop w:val="0"/>
      <w:marBottom w:val="0"/>
      <w:divBdr>
        <w:top w:val="none" w:sz="0" w:space="0" w:color="auto"/>
        <w:left w:val="none" w:sz="0" w:space="0" w:color="auto"/>
        <w:bottom w:val="none" w:sz="0" w:space="0" w:color="auto"/>
        <w:right w:val="none" w:sz="0" w:space="0" w:color="auto"/>
      </w:divBdr>
    </w:div>
    <w:div w:id="1879394629">
      <w:bodyDiv w:val="1"/>
      <w:marLeft w:val="0"/>
      <w:marRight w:val="0"/>
      <w:marTop w:val="0"/>
      <w:marBottom w:val="0"/>
      <w:divBdr>
        <w:top w:val="none" w:sz="0" w:space="0" w:color="auto"/>
        <w:left w:val="none" w:sz="0" w:space="0" w:color="auto"/>
        <w:bottom w:val="none" w:sz="0" w:space="0" w:color="auto"/>
        <w:right w:val="none" w:sz="0" w:space="0" w:color="auto"/>
      </w:divBdr>
    </w:div>
    <w:div w:id="1890530510">
      <w:bodyDiv w:val="1"/>
      <w:marLeft w:val="0"/>
      <w:marRight w:val="0"/>
      <w:marTop w:val="0"/>
      <w:marBottom w:val="0"/>
      <w:divBdr>
        <w:top w:val="none" w:sz="0" w:space="0" w:color="auto"/>
        <w:left w:val="none" w:sz="0" w:space="0" w:color="auto"/>
        <w:bottom w:val="none" w:sz="0" w:space="0" w:color="auto"/>
        <w:right w:val="none" w:sz="0" w:space="0" w:color="auto"/>
      </w:divBdr>
    </w:div>
    <w:div w:id="1895118626">
      <w:bodyDiv w:val="1"/>
      <w:marLeft w:val="0"/>
      <w:marRight w:val="0"/>
      <w:marTop w:val="0"/>
      <w:marBottom w:val="0"/>
      <w:divBdr>
        <w:top w:val="none" w:sz="0" w:space="0" w:color="auto"/>
        <w:left w:val="none" w:sz="0" w:space="0" w:color="auto"/>
        <w:bottom w:val="none" w:sz="0" w:space="0" w:color="auto"/>
        <w:right w:val="none" w:sz="0" w:space="0" w:color="auto"/>
      </w:divBdr>
    </w:div>
    <w:div w:id="1931309686">
      <w:bodyDiv w:val="1"/>
      <w:marLeft w:val="0"/>
      <w:marRight w:val="0"/>
      <w:marTop w:val="0"/>
      <w:marBottom w:val="0"/>
      <w:divBdr>
        <w:top w:val="none" w:sz="0" w:space="0" w:color="auto"/>
        <w:left w:val="none" w:sz="0" w:space="0" w:color="auto"/>
        <w:bottom w:val="none" w:sz="0" w:space="0" w:color="auto"/>
        <w:right w:val="none" w:sz="0" w:space="0" w:color="auto"/>
      </w:divBdr>
    </w:div>
    <w:div w:id="1961955974">
      <w:bodyDiv w:val="1"/>
      <w:marLeft w:val="0"/>
      <w:marRight w:val="0"/>
      <w:marTop w:val="0"/>
      <w:marBottom w:val="0"/>
      <w:divBdr>
        <w:top w:val="none" w:sz="0" w:space="0" w:color="auto"/>
        <w:left w:val="none" w:sz="0" w:space="0" w:color="auto"/>
        <w:bottom w:val="none" w:sz="0" w:space="0" w:color="auto"/>
        <w:right w:val="none" w:sz="0" w:space="0" w:color="auto"/>
      </w:divBdr>
    </w:div>
    <w:div w:id="1970477413">
      <w:bodyDiv w:val="1"/>
      <w:marLeft w:val="0"/>
      <w:marRight w:val="0"/>
      <w:marTop w:val="0"/>
      <w:marBottom w:val="0"/>
      <w:divBdr>
        <w:top w:val="none" w:sz="0" w:space="0" w:color="auto"/>
        <w:left w:val="none" w:sz="0" w:space="0" w:color="auto"/>
        <w:bottom w:val="none" w:sz="0" w:space="0" w:color="auto"/>
        <w:right w:val="none" w:sz="0" w:space="0" w:color="auto"/>
      </w:divBdr>
    </w:div>
    <w:div w:id="2009600345">
      <w:bodyDiv w:val="1"/>
      <w:marLeft w:val="0"/>
      <w:marRight w:val="0"/>
      <w:marTop w:val="0"/>
      <w:marBottom w:val="0"/>
      <w:divBdr>
        <w:top w:val="none" w:sz="0" w:space="0" w:color="auto"/>
        <w:left w:val="none" w:sz="0" w:space="0" w:color="auto"/>
        <w:bottom w:val="none" w:sz="0" w:space="0" w:color="auto"/>
        <w:right w:val="none" w:sz="0" w:space="0" w:color="auto"/>
      </w:divBdr>
    </w:div>
    <w:div w:id="2034721153">
      <w:bodyDiv w:val="1"/>
      <w:marLeft w:val="0"/>
      <w:marRight w:val="0"/>
      <w:marTop w:val="0"/>
      <w:marBottom w:val="0"/>
      <w:divBdr>
        <w:top w:val="none" w:sz="0" w:space="0" w:color="auto"/>
        <w:left w:val="none" w:sz="0" w:space="0" w:color="auto"/>
        <w:bottom w:val="none" w:sz="0" w:space="0" w:color="auto"/>
        <w:right w:val="none" w:sz="0" w:space="0" w:color="auto"/>
      </w:divBdr>
    </w:div>
    <w:div w:id="2046900233">
      <w:bodyDiv w:val="1"/>
      <w:marLeft w:val="0"/>
      <w:marRight w:val="0"/>
      <w:marTop w:val="0"/>
      <w:marBottom w:val="0"/>
      <w:divBdr>
        <w:top w:val="none" w:sz="0" w:space="0" w:color="auto"/>
        <w:left w:val="none" w:sz="0" w:space="0" w:color="auto"/>
        <w:bottom w:val="none" w:sz="0" w:space="0" w:color="auto"/>
        <w:right w:val="none" w:sz="0" w:space="0" w:color="auto"/>
      </w:divBdr>
    </w:div>
    <w:div w:id="2083680258">
      <w:bodyDiv w:val="1"/>
      <w:marLeft w:val="0"/>
      <w:marRight w:val="0"/>
      <w:marTop w:val="0"/>
      <w:marBottom w:val="0"/>
      <w:divBdr>
        <w:top w:val="none" w:sz="0" w:space="0" w:color="auto"/>
        <w:left w:val="none" w:sz="0" w:space="0" w:color="auto"/>
        <w:bottom w:val="none" w:sz="0" w:space="0" w:color="auto"/>
        <w:right w:val="none" w:sz="0" w:space="0" w:color="auto"/>
      </w:divBdr>
    </w:div>
    <w:div w:id="2110467074">
      <w:bodyDiv w:val="1"/>
      <w:marLeft w:val="0"/>
      <w:marRight w:val="0"/>
      <w:marTop w:val="0"/>
      <w:marBottom w:val="0"/>
      <w:divBdr>
        <w:top w:val="none" w:sz="0" w:space="0" w:color="auto"/>
        <w:left w:val="none" w:sz="0" w:space="0" w:color="auto"/>
        <w:bottom w:val="none" w:sz="0" w:space="0" w:color="auto"/>
        <w:right w:val="none" w:sz="0" w:space="0" w:color="auto"/>
      </w:divBdr>
    </w:div>
    <w:div w:id="2112049265">
      <w:bodyDiv w:val="1"/>
      <w:marLeft w:val="0"/>
      <w:marRight w:val="0"/>
      <w:marTop w:val="0"/>
      <w:marBottom w:val="0"/>
      <w:divBdr>
        <w:top w:val="none" w:sz="0" w:space="0" w:color="auto"/>
        <w:left w:val="none" w:sz="0" w:space="0" w:color="auto"/>
        <w:bottom w:val="none" w:sz="0" w:space="0" w:color="auto"/>
        <w:right w:val="none" w:sz="0" w:space="0" w:color="auto"/>
      </w:divBdr>
    </w:div>
    <w:div w:id="2120563877">
      <w:bodyDiv w:val="1"/>
      <w:marLeft w:val="0"/>
      <w:marRight w:val="0"/>
      <w:marTop w:val="0"/>
      <w:marBottom w:val="0"/>
      <w:divBdr>
        <w:top w:val="none" w:sz="0" w:space="0" w:color="auto"/>
        <w:left w:val="none" w:sz="0" w:space="0" w:color="auto"/>
        <w:bottom w:val="none" w:sz="0" w:space="0" w:color="auto"/>
        <w:right w:val="none" w:sz="0" w:space="0" w:color="auto"/>
      </w:divBdr>
      <w:divsChild>
        <w:div w:id="113444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ms.wyo.gov/ManageDocket.aspx?DocketId=hZtesXBE1fYkaQVzEg%2bjhVJue2jUCNeBkMMMnEa3yu8%3d" TargetMode="External"/><Relationship Id="rId18" Type="http://schemas.openxmlformats.org/officeDocument/2006/relationships/hyperlink" Target="https://www.utc.wa.gov/docs/Pages/DocketLookup.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ileservice.eea.comacloud.net/FileService.Api/file/FileRoom/11864298" TargetMode="External"/><Relationship Id="rId7" Type="http://schemas.openxmlformats.org/officeDocument/2006/relationships/settings" Target="settings.xml"/><Relationship Id="rId12" Type="http://schemas.openxmlformats.org/officeDocument/2006/relationships/hyperlink" Target="https://www.aga.org/news/coronavirus-covid-19/member-resources/" TargetMode="External"/><Relationship Id="rId17" Type="http://schemas.openxmlformats.org/officeDocument/2006/relationships/hyperlink" Target="https://iurc.portal.in.gov/legal-case-details/?id=37c373ba-14e5-e911-a98b-001dd800c97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urc.portal.in.gov/legal-case-details/?id=1b00739c-19e5-e911-a988-001dd800cc2e" TargetMode="External"/><Relationship Id="rId20" Type="http://schemas.openxmlformats.org/officeDocument/2006/relationships/hyperlink" Target="https://psc.utah.gov/2019/01/07/docket-no-19-057-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a.org/rate-alerts" TargetMode="External"/><Relationship Id="rId24" Type="http://schemas.openxmlformats.org/officeDocument/2006/relationships/hyperlink" Target="http://www.aga.org" TargetMode="External"/><Relationship Id="rId5" Type="http://schemas.openxmlformats.org/officeDocument/2006/relationships/numbering" Target="numbering.xml"/><Relationship Id="rId15" Type="http://schemas.openxmlformats.org/officeDocument/2006/relationships/hyperlink" Target="https://scc.virginia.gov/DocketSearch" TargetMode="External"/><Relationship Id="rId23" Type="http://schemas.openxmlformats.org/officeDocument/2006/relationships/hyperlink" Target="https://mpuc-cms.maine.gov/CQM.Public.WebUI/Common/CaseMaster.aspx?CaseNumber=2019-0009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tar.kcc.ks.gov/estar/portal/kscc/PSC/DocketDetails.aspx?DocketId=9f5bb6f5-845e-4800-ac07-58edc42df43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ments.dps.ny.gov/public/MatterManagement/CaseMaster.aspx?MatterCaseNo=19-G-0066&amp;submit=Search" TargetMode="External"/><Relationship Id="rId22" Type="http://schemas.openxmlformats.org/officeDocument/2006/relationships/hyperlink" Target="https://www.utc.wa.gov/docs/Pages/DocketLookup.asp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847EB9560DDE4A82D8E456567AF47B" ma:contentTypeVersion="8" ma:contentTypeDescription="Create a new document." ma:contentTypeScope="" ma:versionID="b4c09e1dd3845537ae240a1abd987caa">
  <xsd:schema xmlns:xsd="http://www.w3.org/2001/XMLSchema" xmlns:xs="http://www.w3.org/2001/XMLSchema" xmlns:p="http://schemas.microsoft.com/office/2006/metadata/properties" xmlns:ns3="253ccc6d-c3d8-49fe-9fee-0892fe971ed8" targetNamespace="http://schemas.microsoft.com/office/2006/metadata/properties" ma:root="true" ma:fieldsID="d268c253927ea383c7a91868a12ffc14" ns3:_="">
    <xsd:import namespace="253ccc6d-c3d8-49fe-9fee-0892fe971e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ccc6d-c3d8-49fe-9fee-0892fe971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7B9FB-F86C-4C24-803D-4D6A4FDC37D5}">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253ccc6d-c3d8-49fe-9fee-0892fe971ed8"/>
    <ds:schemaRef ds:uri="http://schemas.microsoft.com/office/2006/metadata/properties"/>
  </ds:schemaRefs>
</ds:datastoreItem>
</file>

<file path=customXml/itemProps2.xml><?xml version="1.0" encoding="utf-8"?>
<ds:datastoreItem xmlns:ds="http://schemas.openxmlformats.org/officeDocument/2006/customXml" ds:itemID="{4315820B-6DB2-4AA7-AB42-BACD74372DCF}">
  <ds:schemaRefs>
    <ds:schemaRef ds:uri="http://schemas.microsoft.com/sharepoint/v3/contenttype/forms"/>
  </ds:schemaRefs>
</ds:datastoreItem>
</file>

<file path=customXml/itemProps3.xml><?xml version="1.0" encoding="utf-8"?>
<ds:datastoreItem xmlns:ds="http://schemas.openxmlformats.org/officeDocument/2006/customXml" ds:itemID="{50C56F03-71D2-4523-86EC-2ACA6CF8D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ccc6d-c3d8-49fe-9fee-0892fe971e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DA66F-4049-4952-BAB5-A6FE07B3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4024</Words>
  <Characters>22937</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Zuretti</dc:creator>
  <cp:keywords/>
  <dc:description/>
  <cp:lastModifiedBy>Canavan, Frank</cp:lastModifiedBy>
  <cp:revision>2</cp:revision>
  <cp:lastPrinted>2020-04-20T15:14:00Z</cp:lastPrinted>
  <dcterms:created xsi:type="dcterms:W3CDTF">2020-04-20T15:14:00Z</dcterms:created>
  <dcterms:modified xsi:type="dcterms:W3CDTF">2020-04-20T15:14:00Z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0x01010053847EB9560DDE4A82D8E456567AF47B</vt:lpwstr>
  </property>
</Properties>
</file>