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39" w:rsidRPr="001F5597" w:rsidRDefault="00DB1A39" w:rsidP="006C3E85">
      <w:pPr>
        <w:spacing w:line="240" w:lineRule="auto"/>
        <w:contextualSpacing/>
        <w:rPr>
          <w:rFonts w:ascii="Arial" w:hAnsi="Arial" w:cs="Arial"/>
          <w:b/>
          <w:sz w:val="36"/>
          <w:szCs w:val="36"/>
        </w:rPr>
      </w:pPr>
      <w:r w:rsidRPr="001F5597">
        <w:rPr>
          <w:rFonts w:ascii="Arial" w:hAnsi="Arial" w:cs="Arial"/>
          <w:b/>
          <w:sz w:val="36"/>
          <w:szCs w:val="36"/>
        </w:rPr>
        <w:t>A Summary of State Rate &amp; Regulatory Activity</w:t>
      </w:r>
    </w:p>
    <w:p w:rsidR="00DB1A39" w:rsidRPr="00B51D1F" w:rsidRDefault="00DB1A39" w:rsidP="006C3E85">
      <w:pPr>
        <w:spacing w:line="240" w:lineRule="auto"/>
        <w:contextualSpacing/>
        <w:rPr>
          <w:rFonts w:ascii="Arial" w:hAnsi="Arial" w:cs="Arial"/>
          <w:b/>
          <w:i/>
          <w:sz w:val="16"/>
          <w:szCs w:val="16"/>
        </w:rPr>
      </w:pPr>
      <w:r w:rsidRPr="00B51D1F">
        <w:rPr>
          <w:rFonts w:ascii="Arial" w:hAnsi="Arial" w:cs="Arial"/>
          <w:b/>
          <w:i/>
          <w:sz w:val="16"/>
          <w:szCs w:val="16"/>
        </w:rPr>
        <w:t>A Publication for AGA Members</w:t>
      </w:r>
    </w:p>
    <w:p w:rsidR="00DB1A39" w:rsidRPr="00B51D1F" w:rsidRDefault="00DB1A39" w:rsidP="004A4C05">
      <w:pPr>
        <w:spacing w:line="240" w:lineRule="auto"/>
        <w:contextualSpacing/>
        <w:rPr>
          <w:rFonts w:ascii="Arial" w:hAnsi="Arial" w:cs="Arial"/>
          <w:i/>
        </w:rPr>
      </w:pPr>
      <w:r w:rsidRPr="00B51D1F">
        <w:rPr>
          <w:rFonts w:ascii="Arial" w:hAnsi="Arial" w:cs="Arial"/>
          <w:i/>
        </w:rPr>
        <w:t>This document is intended to provide AGA members with a summary of information relative to state rate and regulatory proceedings and other related matters on a timely basis.  Additional information and archived versions of the Rate &amp; Regulatory Update can be found at the following web link:</w:t>
      </w:r>
      <w:r w:rsidR="001F5597">
        <w:rPr>
          <w:rFonts w:ascii="Arial" w:hAnsi="Arial" w:cs="Arial"/>
          <w:i/>
        </w:rPr>
        <w:t xml:space="preserve"> </w:t>
      </w:r>
      <w:hyperlink r:id="rId8" w:history="1">
        <w:r w:rsidRPr="00B51D1F">
          <w:rPr>
            <w:rStyle w:val="Hyperlink"/>
            <w:rFonts w:ascii="Arial" w:hAnsi="Arial" w:cs="Arial"/>
            <w:i/>
          </w:rPr>
          <w:t>https://www.aga.org/rate-alerts</w:t>
        </w:r>
      </w:hyperlink>
      <w:r w:rsidRPr="00B51D1F">
        <w:rPr>
          <w:rFonts w:ascii="Arial" w:hAnsi="Arial" w:cs="Arial"/>
          <w:i/>
        </w:rPr>
        <w:t xml:space="preserve"> </w:t>
      </w:r>
    </w:p>
    <w:p w:rsidR="008A2C67" w:rsidRPr="00B51D1F" w:rsidRDefault="008A2C67" w:rsidP="004A4C05">
      <w:pPr>
        <w:spacing w:line="240" w:lineRule="auto"/>
        <w:contextualSpacing/>
        <w:rPr>
          <w:rFonts w:ascii="Arial" w:hAnsi="Arial" w:cs="Arial"/>
          <w:i/>
        </w:rPr>
      </w:pPr>
    </w:p>
    <w:tbl>
      <w:tblPr>
        <w:tblStyle w:val="TableGrid"/>
        <w:tblW w:w="9895" w:type="dxa"/>
        <w:tblLook w:val="04A0" w:firstRow="1" w:lastRow="0" w:firstColumn="1" w:lastColumn="0" w:noHBand="0" w:noVBand="1"/>
      </w:tblPr>
      <w:tblGrid>
        <w:gridCol w:w="2245"/>
        <w:gridCol w:w="7650"/>
      </w:tblGrid>
      <w:tr w:rsidR="00EE50B3" w:rsidRPr="00B51D1F" w:rsidTr="004E793E">
        <w:trPr>
          <w:trHeight w:val="279"/>
        </w:trPr>
        <w:tc>
          <w:tcPr>
            <w:tcW w:w="9895" w:type="dxa"/>
            <w:gridSpan w:val="2"/>
            <w:shd w:val="clear" w:color="auto" w:fill="1F4E79" w:themeFill="accent1" w:themeFillShade="80"/>
          </w:tcPr>
          <w:p w:rsidR="00EE50B3" w:rsidRPr="001F5597" w:rsidRDefault="00EE50B3" w:rsidP="00684717">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Rate Case Data</w:t>
            </w:r>
            <w:r w:rsidR="00DE3CEE" w:rsidRPr="001F5597">
              <w:rPr>
                <w:rFonts w:ascii="Arial" w:hAnsi="Arial" w:cs="Arial"/>
                <w:b/>
                <w:color w:val="FFFFFF" w:themeColor="background1"/>
                <w:sz w:val="36"/>
                <w:szCs w:val="36"/>
              </w:rPr>
              <w:t xml:space="preserve"> for t</w:t>
            </w:r>
            <w:r w:rsidRPr="001F5597">
              <w:rPr>
                <w:rFonts w:ascii="Arial" w:hAnsi="Arial" w:cs="Arial"/>
                <w:b/>
                <w:color w:val="FFFFFF" w:themeColor="background1"/>
                <w:sz w:val="36"/>
                <w:szCs w:val="36"/>
              </w:rPr>
              <w:t>his Period</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Orders Issued</w:t>
            </w:r>
          </w:p>
        </w:tc>
        <w:tc>
          <w:tcPr>
            <w:tcW w:w="7650" w:type="dxa"/>
            <w:tcBorders>
              <w:bottom w:val="single" w:sz="4" w:space="0" w:color="auto"/>
            </w:tcBorders>
            <w:shd w:val="clear" w:color="auto" w:fill="auto"/>
          </w:tcPr>
          <w:p w:rsidR="00EE50B3" w:rsidRPr="00B51D1F" w:rsidRDefault="00244BAD" w:rsidP="000C1B88">
            <w:pPr>
              <w:tabs>
                <w:tab w:val="left" w:pos="780"/>
              </w:tabs>
              <w:rPr>
                <w:rFonts w:ascii="Arial" w:hAnsi="Arial" w:cs="Arial"/>
              </w:rPr>
            </w:pPr>
            <w:r>
              <w:rPr>
                <w:rFonts w:ascii="Arial" w:hAnsi="Arial" w:cs="Arial"/>
              </w:rPr>
              <w:t>5</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Average ROE</w:t>
            </w:r>
            <w:r w:rsidR="002B206B" w:rsidRPr="00B51D1F">
              <w:rPr>
                <w:rFonts w:ascii="Arial" w:hAnsi="Arial" w:cs="Arial"/>
                <w:b/>
                <w:color w:val="FFFFFF" w:themeColor="background1"/>
              </w:rPr>
              <w:t xml:space="preserve"> </w:t>
            </w:r>
          </w:p>
        </w:tc>
        <w:tc>
          <w:tcPr>
            <w:tcW w:w="7650" w:type="dxa"/>
            <w:shd w:val="clear" w:color="auto" w:fill="auto"/>
          </w:tcPr>
          <w:p w:rsidR="00EE50B3" w:rsidRPr="00B51D1F" w:rsidRDefault="00244BAD" w:rsidP="00E8069C">
            <w:pPr>
              <w:rPr>
                <w:rFonts w:ascii="Arial" w:hAnsi="Arial" w:cs="Arial"/>
              </w:rPr>
            </w:pPr>
            <w:r>
              <w:rPr>
                <w:rFonts w:ascii="Arial" w:hAnsi="Arial" w:cs="Arial"/>
              </w:rPr>
              <w:t>9.69</w:t>
            </w:r>
          </w:p>
        </w:tc>
      </w:tr>
      <w:tr w:rsidR="006B0973" w:rsidRPr="00B51D1F" w:rsidTr="004E793E">
        <w:trPr>
          <w:trHeight w:val="279"/>
        </w:trPr>
        <w:tc>
          <w:tcPr>
            <w:tcW w:w="9895" w:type="dxa"/>
            <w:gridSpan w:val="2"/>
            <w:tcBorders>
              <w:bottom w:val="single" w:sz="4" w:space="0" w:color="auto"/>
            </w:tcBorders>
            <w:shd w:val="clear" w:color="auto" w:fill="1F4E79" w:themeFill="accent1" w:themeFillShade="80"/>
          </w:tcPr>
          <w:p w:rsidR="006B0973" w:rsidRPr="00B51D1F" w:rsidRDefault="006B0973" w:rsidP="007E1100">
            <w:pPr>
              <w:rPr>
                <w:rFonts w:ascii="Arial" w:hAnsi="Arial" w:cs="Arial"/>
                <w:b/>
              </w:rPr>
            </w:pPr>
            <w:r w:rsidRPr="00B51D1F">
              <w:rPr>
                <w:rFonts w:ascii="Arial" w:hAnsi="Arial" w:cs="Arial"/>
                <w:b/>
                <w:color w:val="FFFFFF" w:themeColor="background1"/>
              </w:rPr>
              <w:t>Trends and Analysis</w:t>
            </w:r>
          </w:p>
        </w:tc>
      </w:tr>
      <w:tr w:rsidR="006B0973" w:rsidRPr="00B51D1F" w:rsidTr="00BD7495">
        <w:trPr>
          <w:trHeight w:val="800"/>
        </w:trPr>
        <w:tc>
          <w:tcPr>
            <w:tcW w:w="9895" w:type="dxa"/>
            <w:gridSpan w:val="2"/>
            <w:tcBorders>
              <w:bottom w:val="single" w:sz="4" w:space="0" w:color="auto"/>
            </w:tcBorders>
            <w:shd w:val="clear" w:color="auto" w:fill="auto"/>
          </w:tcPr>
          <w:p w:rsidR="00244BAD" w:rsidRDefault="00244BAD" w:rsidP="00244BAD">
            <w:pPr>
              <w:tabs>
                <w:tab w:val="left" w:pos="3285"/>
              </w:tabs>
              <w:rPr>
                <w:rFonts w:ascii="Arial" w:hAnsi="Arial" w:cs="Arial"/>
              </w:rPr>
            </w:pPr>
            <w:r w:rsidRPr="00244BAD">
              <w:rPr>
                <w:rFonts w:ascii="Arial" w:hAnsi="Arial" w:cs="Arial"/>
              </w:rPr>
              <w:t xml:space="preserve">The average ROE authorized gas utilities </w:t>
            </w:r>
            <w:proofErr w:type="gramStart"/>
            <w:r w:rsidRPr="00244BAD">
              <w:rPr>
                <w:rFonts w:ascii="Arial" w:hAnsi="Arial" w:cs="Arial"/>
              </w:rPr>
              <w:t>was</w:t>
            </w:r>
            <w:proofErr w:type="gramEnd"/>
            <w:r w:rsidRPr="00244BAD">
              <w:rPr>
                <w:rFonts w:ascii="Arial" w:hAnsi="Arial" w:cs="Arial"/>
              </w:rPr>
              <w:t xml:space="preserve"> 9.</w:t>
            </w:r>
            <w:r>
              <w:rPr>
                <w:rFonts w:ascii="Arial" w:hAnsi="Arial" w:cs="Arial"/>
              </w:rPr>
              <w:t>69</w:t>
            </w:r>
            <w:r w:rsidRPr="00244BAD">
              <w:rPr>
                <w:rFonts w:ascii="Arial" w:hAnsi="Arial" w:cs="Arial"/>
              </w:rPr>
              <w:t xml:space="preserve">% in the </w:t>
            </w:r>
            <w:r>
              <w:rPr>
                <w:rFonts w:ascii="Arial" w:hAnsi="Arial" w:cs="Arial"/>
              </w:rPr>
              <w:t>second</w:t>
            </w:r>
            <w:r w:rsidRPr="00244BAD">
              <w:rPr>
                <w:rFonts w:ascii="Arial" w:hAnsi="Arial" w:cs="Arial"/>
              </w:rPr>
              <w:t xml:space="preserve"> quarter of 2019 compared to 9.5</w:t>
            </w:r>
            <w:r>
              <w:rPr>
                <w:rFonts w:ascii="Arial" w:hAnsi="Arial" w:cs="Arial"/>
              </w:rPr>
              <w:t>5</w:t>
            </w:r>
            <w:r w:rsidRPr="00244BAD">
              <w:rPr>
                <w:rFonts w:ascii="Arial" w:hAnsi="Arial" w:cs="Arial"/>
              </w:rPr>
              <w:t xml:space="preserve">% in </w:t>
            </w:r>
            <w:r>
              <w:rPr>
                <w:rFonts w:ascii="Arial" w:hAnsi="Arial" w:cs="Arial"/>
              </w:rPr>
              <w:t>the first</w:t>
            </w:r>
            <w:r w:rsidRPr="00244BAD">
              <w:rPr>
                <w:rFonts w:ascii="Arial" w:hAnsi="Arial" w:cs="Arial"/>
              </w:rPr>
              <w:t xml:space="preserve"> </w:t>
            </w:r>
            <w:r>
              <w:rPr>
                <w:rFonts w:ascii="Arial" w:hAnsi="Arial" w:cs="Arial"/>
              </w:rPr>
              <w:t>quarter</w:t>
            </w:r>
            <w:r w:rsidRPr="00244BAD">
              <w:rPr>
                <w:rFonts w:ascii="Arial" w:hAnsi="Arial" w:cs="Arial"/>
              </w:rPr>
              <w:t>.</w:t>
            </w:r>
            <w:r>
              <w:rPr>
                <w:rFonts w:ascii="Arial" w:hAnsi="Arial" w:cs="Arial"/>
              </w:rPr>
              <w:t xml:space="preserve"> Only two of the rate cases decided this quarter contained </w:t>
            </w:r>
            <w:proofErr w:type="gramStart"/>
            <w:r>
              <w:rPr>
                <w:rFonts w:ascii="Arial" w:hAnsi="Arial" w:cs="Arial"/>
              </w:rPr>
              <w:t>an</w:t>
            </w:r>
            <w:proofErr w:type="gramEnd"/>
            <w:r>
              <w:rPr>
                <w:rFonts w:ascii="Arial" w:hAnsi="Arial" w:cs="Arial"/>
              </w:rPr>
              <w:t xml:space="preserve"> ROE determination.</w:t>
            </w:r>
            <w:r w:rsidRPr="00244BAD">
              <w:rPr>
                <w:rFonts w:ascii="Arial" w:hAnsi="Arial" w:cs="Arial"/>
              </w:rPr>
              <w:t xml:space="preserve"> For gas utilities, the median authorized ROE in the first six months of 2019 was 9.70% versus 9.60% in 2018.</w:t>
            </w:r>
          </w:p>
          <w:p w:rsidR="00244BAD" w:rsidRDefault="00244BAD" w:rsidP="00C1350E">
            <w:pPr>
              <w:tabs>
                <w:tab w:val="left" w:pos="3285"/>
              </w:tabs>
              <w:rPr>
                <w:rFonts w:ascii="Arial" w:hAnsi="Arial" w:cs="Arial"/>
              </w:rPr>
            </w:pPr>
          </w:p>
          <w:p w:rsidR="003E0A98" w:rsidRPr="00063A04" w:rsidRDefault="003E0A98" w:rsidP="00C1350E">
            <w:pPr>
              <w:tabs>
                <w:tab w:val="left" w:pos="3285"/>
              </w:tabs>
              <w:rPr>
                <w:rFonts w:ascii="Arial" w:hAnsi="Arial" w:cs="Arial"/>
              </w:rPr>
            </w:pPr>
            <w:r w:rsidRPr="00063A04">
              <w:rPr>
                <w:rFonts w:ascii="Arial" w:hAnsi="Arial" w:cs="Arial"/>
              </w:rPr>
              <w:t xml:space="preserve">Increased costs associated with environmental compliance, infrastructure upgrades and expansion, storm and disaster recovery, cybersecurity and employee benefits argue for the continuation of an active rate case agenda over the next several years. </w:t>
            </w:r>
          </w:p>
          <w:p w:rsidR="00370652" w:rsidRPr="00063A04" w:rsidRDefault="00370652" w:rsidP="00C1350E">
            <w:pPr>
              <w:tabs>
                <w:tab w:val="left" w:pos="3285"/>
              </w:tabs>
              <w:rPr>
                <w:rFonts w:ascii="Arial" w:hAnsi="Arial" w:cs="Arial"/>
              </w:rPr>
            </w:pPr>
          </w:p>
          <w:p w:rsidR="003E0A98" w:rsidRPr="00063A04" w:rsidRDefault="003E0A98" w:rsidP="00C1350E">
            <w:pPr>
              <w:tabs>
                <w:tab w:val="left" w:pos="3285"/>
              </w:tabs>
              <w:rPr>
                <w:rFonts w:ascii="Arial" w:hAnsi="Arial" w:cs="Arial"/>
              </w:rPr>
            </w:pPr>
            <w:r w:rsidRPr="00063A04">
              <w:rPr>
                <w:rFonts w:ascii="Arial" w:hAnsi="Arial" w:cs="Arial"/>
              </w:rPr>
              <w:t xml:space="preserve">Furthermore, rising interest rates may also play a role in increased rate case activity. In 2015, the Federal Reserve began to gradually raise the federal funds rate. Subsequent to that hike, the Federal Reserve has increased rates by 25 basis points eight times, the most recent hike occurring in December 2018, bringing the federal funds rate to the range of 2.25 to 2.5%. While additional increases were anticipated in 2019, </w:t>
            </w:r>
            <w:r w:rsidR="00063A04" w:rsidRPr="00063A04">
              <w:rPr>
                <w:rFonts w:ascii="Arial" w:hAnsi="Arial" w:cs="Arial"/>
              </w:rPr>
              <w:t>the Fed cut rates for the first time since late 2008. Analysts now expect a quarter-basis point reduction in the federal funds rate by the end of July, with the potential for additional cuts by year-end.</w:t>
            </w:r>
          </w:p>
          <w:p w:rsidR="00063A04" w:rsidRPr="00063A04" w:rsidRDefault="00063A04" w:rsidP="00C1350E">
            <w:pPr>
              <w:tabs>
                <w:tab w:val="left" w:pos="3285"/>
              </w:tabs>
              <w:rPr>
                <w:rFonts w:ascii="Arial" w:hAnsi="Arial" w:cs="Arial"/>
              </w:rPr>
            </w:pPr>
          </w:p>
          <w:p w:rsidR="003E0A98" w:rsidRPr="00063A04" w:rsidRDefault="003E0A98" w:rsidP="00C1350E">
            <w:pPr>
              <w:tabs>
                <w:tab w:val="left" w:pos="3285"/>
              </w:tabs>
              <w:rPr>
                <w:rFonts w:ascii="Arial" w:hAnsi="Arial" w:cs="Arial"/>
              </w:rPr>
            </w:pPr>
            <w:r w:rsidRPr="00063A04">
              <w:rPr>
                <w:rFonts w:ascii="Arial" w:hAnsi="Arial" w:cs="Arial"/>
              </w:rPr>
              <w:t xml:space="preserve">To counter the negative cash flow impact of the Tax Cuts and Jobs Act, many utilities sought higher common equity rations, and the average authorized equity ratio adopted by utility commissions in the first </w:t>
            </w:r>
            <w:r w:rsidR="00063A04" w:rsidRPr="00063A04">
              <w:rPr>
                <w:rFonts w:ascii="Arial" w:hAnsi="Arial" w:cs="Arial"/>
              </w:rPr>
              <w:t>six</w:t>
            </w:r>
            <w:r w:rsidRPr="00063A04">
              <w:rPr>
                <w:rFonts w:ascii="Arial" w:hAnsi="Arial" w:cs="Arial"/>
              </w:rPr>
              <w:t xml:space="preserve"> months of 2019 was modestly higher than levels observed in 2018 and 2017. The </w:t>
            </w:r>
            <w:r w:rsidR="000F695E" w:rsidRPr="00063A04">
              <w:rPr>
                <w:rFonts w:ascii="Arial" w:hAnsi="Arial" w:cs="Arial"/>
              </w:rPr>
              <w:t>average allowed equity ratio for gas utilities nationwide was 5</w:t>
            </w:r>
            <w:r w:rsidR="00063A04" w:rsidRPr="00063A04">
              <w:rPr>
                <w:rFonts w:ascii="Arial" w:hAnsi="Arial" w:cs="Arial"/>
              </w:rPr>
              <w:t>4</w:t>
            </w:r>
            <w:r w:rsidR="000F695E" w:rsidRPr="00063A04">
              <w:rPr>
                <w:rFonts w:ascii="Arial" w:hAnsi="Arial" w:cs="Arial"/>
              </w:rPr>
              <w:t>.</w:t>
            </w:r>
            <w:r w:rsidR="00063A04" w:rsidRPr="00063A04">
              <w:rPr>
                <w:rFonts w:ascii="Arial" w:hAnsi="Arial" w:cs="Arial"/>
              </w:rPr>
              <w:t>6</w:t>
            </w:r>
            <w:r w:rsidR="000F695E" w:rsidRPr="00063A04">
              <w:rPr>
                <w:rFonts w:ascii="Arial" w:hAnsi="Arial" w:cs="Arial"/>
              </w:rPr>
              <w:t xml:space="preserve">0% in the first </w:t>
            </w:r>
            <w:r w:rsidR="00063A04" w:rsidRPr="00063A04">
              <w:rPr>
                <w:rFonts w:ascii="Arial" w:hAnsi="Arial" w:cs="Arial"/>
              </w:rPr>
              <w:t>six</w:t>
            </w:r>
            <w:r w:rsidR="000F695E" w:rsidRPr="00063A04">
              <w:rPr>
                <w:rFonts w:ascii="Arial" w:hAnsi="Arial" w:cs="Arial"/>
              </w:rPr>
              <w:t xml:space="preserve"> months of 2019; compared to 50.09% in 2018 and 49.88% in 2017. The </w:t>
            </w:r>
            <w:proofErr w:type="gramStart"/>
            <w:r w:rsidR="000F695E" w:rsidRPr="00063A04">
              <w:rPr>
                <w:rFonts w:ascii="Arial" w:hAnsi="Arial" w:cs="Arial"/>
              </w:rPr>
              <w:t>aforementioned averages</w:t>
            </w:r>
            <w:proofErr w:type="gramEnd"/>
            <w:r w:rsidR="000F695E" w:rsidRPr="00063A04">
              <w:rPr>
                <w:rFonts w:ascii="Arial" w:hAnsi="Arial" w:cs="Arial"/>
              </w:rPr>
              <w:t xml:space="preserve"> include allowed equity ratios adopted by utility commissions in Arkansas, Florida, Indiana and Michigan – jurisdictions that authorize capital structures that include cost-free items or tax credit balances. For gas utilities, there were no determinations from the </w:t>
            </w:r>
            <w:proofErr w:type="gramStart"/>
            <w:r w:rsidR="000F695E" w:rsidRPr="00063A04">
              <w:rPr>
                <w:rFonts w:ascii="Arial" w:hAnsi="Arial" w:cs="Arial"/>
              </w:rPr>
              <w:t>aforementioned states</w:t>
            </w:r>
            <w:proofErr w:type="gramEnd"/>
            <w:r w:rsidR="000F695E" w:rsidRPr="00063A04">
              <w:rPr>
                <w:rFonts w:ascii="Arial" w:hAnsi="Arial" w:cs="Arial"/>
              </w:rPr>
              <w:t xml:space="preserve"> to-date in 2019, however, excluding these jurisdictions from prior years, the average allowed equity ratio was 51.47% in 2018 and 51.13% in 2017.</w:t>
            </w:r>
          </w:p>
          <w:p w:rsidR="006C0F04" w:rsidRPr="00B51D1F" w:rsidRDefault="006C0F04" w:rsidP="00B250E0">
            <w:pPr>
              <w:tabs>
                <w:tab w:val="left" w:pos="3285"/>
              </w:tabs>
              <w:rPr>
                <w:rFonts w:ascii="Arial" w:hAnsi="Arial" w:cs="Arial"/>
              </w:rPr>
            </w:pPr>
          </w:p>
        </w:tc>
      </w:tr>
      <w:tr w:rsidR="0061237E" w:rsidRPr="00B51D1F" w:rsidTr="004E793E">
        <w:trPr>
          <w:trHeight w:val="279"/>
        </w:trPr>
        <w:tc>
          <w:tcPr>
            <w:tcW w:w="9895" w:type="dxa"/>
            <w:gridSpan w:val="2"/>
            <w:tcBorders>
              <w:top w:val="nil"/>
            </w:tcBorders>
            <w:shd w:val="clear" w:color="auto" w:fill="1F4E79" w:themeFill="accent1" w:themeFillShade="80"/>
          </w:tcPr>
          <w:p w:rsidR="0061237E" w:rsidRPr="001F5597" w:rsidRDefault="0061237E" w:rsidP="004422B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Other Regulatory Developments</w:t>
            </w:r>
          </w:p>
        </w:tc>
      </w:tr>
      <w:tr w:rsidR="0061237E" w:rsidRPr="00B51D1F" w:rsidTr="0061237E">
        <w:trPr>
          <w:trHeight w:val="279"/>
        </w:trPr>
        <w:tc>
          <w:tcPr>
            <w:tcW w:w="9895" w:type="dxa"/>
            <w:gridSpan w:val="2"/>
            <w:tcBorders>
              <w:top w:val="nil"/>
            </w:tcBorders>
            <w:shd w:val="clear" w:color="auto" w:fill="auto"/>
          </w:tcPr>
          <w:p w:rsidR="00F04E50" w:rsidRDefault="00F04E50" w:rsidP="0061237E">
            <w:pPr>
              <w:rPr>
                <w:rFonts w:ascii="Arial" w:hAnsi="Arial" w:cs="Arial"/>
                <w:b/>
                <w:u w:val="single"/>
              </w:rPr>
            </w:pPr>
          </w:p>
          <w:p w:rsidR="00063A04" w:rsidRDefault="00063A04" w:rsidP="0061237E">
            <w:pPr>
              <w:rPr>
                <w:rFonts w:ascii="Arial" w:hAnsi="Arial" w:cs="Arial"/>
                <w:b/>
                <w:u w:val="single"/>
              </w:rPr>
            </w:pPr>
          </w:p>
          <w:p w:rsidR="00063A04" w:rsidRDefault="00063A04" w:rsidP="0061237E">
            <w:pPr>
              <w:rPr>
                <w:rFonts w:ascii="Arial" w:hAnsi="Arial" w:cs="Arial"/>
                <w:b/>
                <w:u w:val="single"/>
              </w:rPr>
            </w:pPr>
          </w:p>
          <w:p w:rsidR="0066650B" w:rsidRPr="004D07E3" w:rsidRDefault="008A2C67" w:rsidP="0061237E">
            <w:pPr>
              <w:rPr>
                <w:rFonts w:ascii="Arial" w:hAnsi="Arial" w:cs="Arial"/>
                <w:b/>
                <w:u w:val="single"/>
              </w:rPr>
            </w:pPr>
            <w:r w:rsidRPr="004D07E3">
              <w:rPr>
                <w:rFonts w:ascii="Arial" w:hAnsi="Arial" w:cs="Arial"/>
                <w:b/>
                <w:u w:val="single"/>
              </w:rPr>
              <w:t>Commission Changes</w:t>
            </w:r>
            <w:r w:rsidR="00CD3DC9" w:rsidRPr="004D07E3">
              <w:rPr>
                <w:rFonts w:ascii="Arial" w:hAnsi="Arial" w:cs="Arial"/>
                <w:b/>
                <w:u w:val="single"/>
              </w:rPr>
              <w:t xml:space="preserve"> &amp; Updates</w:t>
            </w:r>
          </w:p>
          <w:p w:rsidR="00933722" w:rsidRPr="004D07E3" w:rsidRDefault="00933722" w:rsidP="0061237E">
            <w:pPr>
              <w:rPr>
                <w:rFonts w:ascii="Arial" w:hAnsi="Arial" w:cs="Arial"/>
                <w:b/>
                <w:u w:val="single"/>
              </w:rPr>
            </w:pPr>
          </w:p>
          <w:p w:rsidR="00D32F85" w:rsidRPr="00D32F85" w:rsidRDefault="00D32F85" w:rsidP="00D32F85">
            <w:pPr>
              <w:rPr>
                <w:rFonts w:ascii="Arial" w:hAnsi="Arial" w:cs="Arial"/>
              </w:rPr>
            </w:pPr>
            <w:r w:rsidRPr="000B2FB9">
              <w:rPr>
                <w:rFonts w:ascii="Arial" w:hAnsi="Arial" w:cs="Arial"/>
                <w:b/>
              </w:rPr>
              <w:t>C</w:t>
            </w:r>
            <w:r w:rsidR="000B2FB9" w:rsidRPr="000B2FB9">
              <w:rPr>
                <w:rFonts w:ascii="Arial" w:hAnsi="Arial" w:cs="Arial"/>
                <w:b/>
              </w:rPr>
              <w:t>T</w:t>
            </w:r>
            <w:r w:rsidR="000B2FB9">
              <w:rPr>
                <w:rFonts w:ascii="Arial" w:hAnsi="Arial" w:cs="Arial"/>
              </w:rPr>
              <w:t>:</w:t>
            </w:r>
            <w:r w:rsidRPr="00D32F85">
              <w:rPr>
                <w:rFonts w:ascii="Arial" w:hAnsi="Arial" w:cs="Arial"/>
              </w:rPr>
              <w:t xml:space="preserve"> Gov.</w:t>
            </w:r>
            <w:r w:rsidR="000B2FB9">
              <w:rPr>
                <w:rFonts w:ascii="Arial" w:hAnsi="Arial" w:cs="Arial"/>
              </w:rPr>
              <w:t xml:space="preserve"> </w:t>
            </w:r>
            <w:r w:rsidRPr="00D32F85">
              <w:rPr>
                <w:rFonts w:ascii="Arial" w:hAnsi="Arial" w:cs="Arial"/>
              </w:rPr>
              <w:t xml:space="preserve">Lamont nominated Marissa </w:t>
            </w:r>
            <w:proofErr w:type="spellStart"/>
            <w:r w:rsidRPr="00D32F85">
              <w:rPr>
                <w:rFonts w:ascii="Arial" w:hAnsi="Arial" w:cs="Arial"/>
              </w:rPr>
              <w:t>Paslick</w:t>
            </w:r>
            <w:proofErr w:type="spellEnd"/>
            <w:r w:rsidRPr="00D32F85">
              <w:rPr>
                <w:rFonts w:ascii="Arial" w:hAnsi="Arial" w:cs="Arial"/>
              </w:rPr>
              <w:t xml:space="preserve"> Gillett as commissioner of the Connecticut Public Utilities Regulatory Authority.</w:t>
            </w:r>
            <w:r w:rsidR="000B2FB9">
              <w:rPr>
                <w:rFonts w:ascii="Arial" w:hAnsi="Arial" w:cs="Arial"/>
              </w:rPr>
              <w:t xml:space="preserve"> </w:t>
            </w:r>
            <w:r w:rsidRPr="00D32F85">
              <w:rPr>
                <w:rFonts w:ascii="Arial" w:hAnsi="Arial" w:cs="Arial"/>
              </w:rPr>
              <w:t>Gillett, who will begin serving as a commissioner April 26, will serve the remainder of a term extending to June 30, 2020, that was most recently held by Katie Dykes.</w:t>
            </w:r>
            <w:r w:rsidR="000B2FB9">
              <w:rPr>
                <w:rFonts w:ascii="Arial" w:hAnsi="Arial" w:cs="Arial"/>
              </w:rPr>
              <w:t xml:space="preserve"> Gillet was subsequently elected chair of the CPURA on May 1.</w:t>
            </w:r>
          </w:p>
          <w:p w:rsidR="00D32F85" w:rsidRPr="00D32F85" w:rsidRDefault="00D32F85" w:rsidP="00D32F85">
            <w:pPr>
              <w:rPr>
                <w:rFonts w:ascii="Arial" w:hAnsi="Arial" w:cs="Arial"/>
              </w:rPr>
            </w:pPr>
          </w:p>
          <w:p w:rsidR="00D32F85" w:rsidRDefault="000B2FB9" w:rsidP="00D32F85">
            <w:pPr>
              <w:rPr>
                <w:rFonts w:ascii="Arial" w:hAnsi="Arial" w:cs="Arial"/>
              </w:rPr>
            </w:pPr>
            <w:r w:rsidRPr="000B2FB9">
              <w:rPr>
                <w:rFonts w:ascii="Arial" w:hAnsi="Arial" w:cs="Arial"/>
                <w:b/>
              </w:rPr>
              <w:t>HI:</w:t>
            </w:r>
            <w:r>
              <w:rPr>
                <w:rFonts w:ascii="Arial" w:hAnsi="Arial" w:cs="Arial"/>
              </w:rPr>
              <w:t xml:space="preserve"> </w:t>
            </w:r>
            <w:r w:rsidR="00D32F85" w:rsidRPr="00D32F85">
              <w:rPr>
                <w:rFonts w:ascii="Arial" w:hAnsi="Arial" w:cs="Arial"/>
              </w:rPr>
              <w:t xml:space="preserve">The Hawaii Senate on April 3 confirmed the appointment of </w:t>
            </w:r>
            <w:proofErr w:type="spellStart"/>
            <w:r w:rsidR="00D32F85" w:rsidRPr="00D32F85">
              <w:rPr>
                <w:rFonts w:ascii="Arial" w:hAnsi="Arial" w:cs="Arial"/>
              </w:rPr>
              <w:t>Leodoloff</w:t>
            </w:r>
            <w:proofErr w:type="spellEnd"/>
            <w:r w:rsidR="00D32F85" w:rsidRPr="00D32F85">
              <w:rPr>
                <w:rFonts w:ascii="Arial" w:hAnsi="Arial" w:cs="Arial"/>
              </w:rPr>
              <w:t xml:space="preserve"> Asuncion Jr. to the Hawaii Public Utilities Commission for the remainder of an unexpired term that extends to June 2020. </w:t>
            </w:r>
          </w:p>
          <w:p w:rsidR="000B2FB9" w:rsidRPr="00D32F85" w:rsidRDefault="000B2FB9" w:rsidP="00D32F85">
            <w:pPr>
              <w:rPr>
                <w:rFonts w:ascii="Arial" w:hAnsi="Arial" w:cs="Arial"/>
              </w:rPr>
            </w:pPr>
          </w:p>
          <w:p w:rsidR="00D32F85" w:rsidRPr="00D32F85" w:rsidRDefault="000B2FB9" w:rsidP="00D32F85">
            <w:pPr>
              <w:rPr>
                <w:rFonts w:ascii="Arial" w:hAnsi="Arial" w:cs="Arial"/>
              </w:rPr>
            </w:pPr>
            <w:r w:rsidRPr="000B2FB9">
              <w:rPr>
                <w:rFonts w:ascii="Arial" w:hAnsi="Arial" w:cs="Arial"/>
                <w:b/>
              </w:rPr>
              <w:t>MN</w:t>
            </w:r>
            <w:r>
              <w:rPr>
                <w:rFonts w:ascii="Arial" w:hAnsi="Arial" w:cs="Arial"/>
              </w:rPr>
              <w:t xml:space="preserve">: </w:t>
            </w:r>
            <w:r w:rsidR="00D32F85" w:rsidRPr="00D32F85">
              <w:rPr>
                <w:rFonts w:ascii="Arial" w:hAnsi="Arial" w:cs="Arial"/>
              </w:rPr>
              <w:t>Gov. Tim Walz appoint</w:t>
            </w:r>
            <w:r>
              <w:rPr>
                <w:rFonts w:ascii="Arial" w:hAnsi="Arial" w:cs="Arial"/>
              </w:rPr>
              <w:t>ed</w:t>
            </w:r>
            <w:r w:rsidR="00D32F85" w:rsidRPr="00D32F85">
              <w:rPr>
                <w:rFonts w:ascii="Arial" w:hAnsi="Arial" w:cs="Arial"/>
              </w:rPr>
              <w:t xml:space="preserve"> Valerie Means, an attorney who has represented utilities in regulatory proceedings, to a six-year term on the Minnesota Public Utilities Commission that extends to January 2025. Walz also on April 12 designated Commissioner Katie Sieben as chair of the PUC.</w:t>
            </w:r>
          </w:p>
          <w:p w:rsidR="00D32F85" w:rsidRPr="00D32F85" w:rsidRDefault="00D32F85" w:rsidP="00D32F85">
            <w:pPr>
              <w:rPr>
                <w:rFonts w:ascii="Arial" w:hAnsi="Arial" w:cs="Arial"/>
              </w:rPr>
            </w:pPr>
          </w:p>
          <w:p w:rsidR="00D32F85" w:rsidRPr="00D32F85" w:rsidRDefault="000B2FB9" w:rsidP="00D32F85">
            <w:pPr>
              <w:rPr>
                <w:rFonts w:ascii="Arial" w:hAnsi="Arial" w:cs="Arial"/>
              </w:rPr>
            </w:pPr>
            <w:r w:rsidRPr="000B2FB9">
              <w:rPr>
                <w:rFonts w:ascii="Arial" w:hAnsi="Arial" w:cs="Arial"/>
                <w:b/>
              </w:rPr>
              <w:t>NV</w:t>
            </w:r>
            <w:r>
              <w:rPr>
                <w:rFonts w:ascii="Arial" w:hAnsi="Arial" w:cs="Arial"/>
              </w:rPr>
              <w:t xml:space="preserve">: </w:t>
            </w:r>
            <w:r w:rsidR="00D32F85" w:rsidRPr="00D32F85">
              <w:rPr>
                <w:rFonts w:ascii="Arial" w:hAnsi="Arial" w:cs="Arial"/>
              </w:rPr>
              <w:t>Hayley Williamson began serving the remainder of an unexpired at the Public Utilities Commission of Nevada that extends to September 2020. This action follows her appointment to the position April 23 by Gov. Sisolak</w:t>
            </w:r>
            <w:r>
              <w:rPr>
                <w:rFonts w:ascii="Arial" w:hAnsi="Arial" w:cs="Arial"/>
              </w:rPr>
              <w:t>.</w:t>
            </w:r>
          </w:p>
          <w:p w:rsidR="00D32F85" w:rsidRPr="00D32F85" w:rsidRDefault="00D32F85" w:rsidP="00D32F85">
            <w:pPr>
              <w:rPr>
                <w:rFonts w:ascii="Arial" w:hAnsi="Arial" w:cs="Arial"/>
              </w:rPr>
            </w:pPr>
          </w:p>
          <w:p w:rsidR="00F04E50" w:rsidRDefault="000B2FB9" w:rsidP="00D32F85">
            <w:pPr>
              <w:rPr>
                <w:rFonts w:ascii="Arial" w:hAnsi="Arial" w:cs="Arial"/>
              </w:rPr>
            </w:pPr>
            <w:r w:rsidRPr="000B2FB9">
              <w:rPr>
                <w:rFonts w:ascii="Arial" w:hAnsi="Arial" w:cs="Arial"/>
                <w:b/>
              </w:rPr>
              <w:t>WI</w:t>
            </w:r>
            <w:r>
              <w:rPr>
                <w:rFonts w:ascii="Arial" w:hAnsi="Arial" w:cs="Arial"/>
              </w:rPr>
              <w:t xml:space="preserve">: </w:t>
            </w:r>
            <w:r w:rsidR="00D32F85" w:rsidRPr="00D32F85">
              <w:rPr>
                <w:rFonts w:ascii="Arial" w:hAnsi="Arial" w:cs="Arial"/>
              </w:rPr>
              <w:t>The Wisconsin Supreme Court issued a ruling April 30 restoring 82 appointments made by former Gov. Scott Walker, a Republican, including that of Ellen Nowak to the Public Service Commission of Wisconsin. Nowak returned to the commission and will serve the remainder of her term that extends to March 2023.</w:t>
            </w:r>
            <w:r w:rsidR="00F04E50">
              <w:rPr>
                <w:rFonts w:ascii="Arial" w:hAnsi="Arial" w:cs="Arial"/>
              </w:rPr>
              <w:t xml:space="preserve">  </w:t>
            </w:r>
          </w:p>
          <w:p w:rsidR="000B2FB9" w:rsidRDefault="000B2FB9" w:rsidP="00D32F85">
            <w:pPr>
              <w:rPr>
                <w:rFonts w:ascii="Arial" w:hAnsi="Arial" w:cs="Arial"/>
              </w:rPr>
            </w:pPr>
          </w:p>
          <w:p w:rsidR="000B2FB9" w:rsidRDefault="000B2FB9" w:rsidP="00D32F85">
            <w:pPr>
              <w:rPr>
                <w:rFonts w:ascii="Arial" w:hAnsi="Arial" w:cs="Arial"/>
              </w:rPr>
            </w:pPr>
            <w:r w:rsidRPr="000B2FB9">
              <w:rPr>
                <w:rFonts w:ascii="Arial" w:hAnsi="Arial" w:cs="Arial"/>
                <w:b/>
              </w:rPr>
              <w:t>ME</w:t>
            </w:r>
            <w:r>
              <w:rPr>
                <w:rFonts w:ascii="Arial" w:hAnsi="Arial" w:cs="Arial"/>
              </w:rPr>
              <w:t xml:space="preserve">: </w:t>
            </w:r>
            <w:r w:rsidRPr="000B2FB9">
              <w:rPr>
                <w:rFonts w:ascii="Arial" w:hAnsi="Arial" w:cs="Arial"/>
              </w:rPr>
              <w:t xml:space="preserve">Maine PUC Chairman Mark </w:t>
            </w:r>
            <w:proofErr w:type="spellStart"/>
            <w:r w:rsidRPr="000B2FB9">
              <w:rPr>
                <w:rFonts w:ascii="Arial" w:hAnsi="Arial" w:cs="Arial"/>
              </w:rPr>
              <w:t>Vannoy</w:t>
            </w:r>
            <w:proofErr w:type="spellEnd"/>
            <w:r w:rsidRPr="000B2FB9">
              <w:rPr>
                <w:rFonts w:ascii="Arial" w:hAnsi="Arial" w:cs="Arial"/>
              </w:rPr>
              <w:t xml:space="preserve"> resigned from the PUC, effective May 3. </w:t>
            </w:r>
            <w:proofErr w:type="spellStart"/>
            <w:r w:rsidRPr="000B2FB9">
              <w:rPr>
                <w:rFonts w:ascii="Arial" w:hAnsi="Arial" w:cs="Arial"/>
              </w:rPr>
              <w:t>Vannoy</w:t>
            </w:r>
            <w:proofErr w:type="spellEnd"/>
            <w:r w:rsidRPr="000B2FB9">
              <w:rPr>
                <w:rFonts w:ascii="Arial" w:hAnsi="Arial" w:cs="Arial"/>
              </w:rPr>
              <w:t xml:space="preserve"> was serving beyond the end of a term that expired March 31. Gov. Mills appointed Phil Bartlett, former state lawmaker and Democratic Party chair, to serve a six-year term as chair of the commission for a term ending in March 2025.</w:t>
            </w:r>
          </w:p>
          <w:p w:rsidR="00745728" w:rsidRDefault="00745728" w:rsidP="00D32F85">
            <w:pPr>
              <w:rPr>
                <w:rFonts w:ascii="Arial" w:hAnsi="Arial" w:cs="Arial"/>
              </w:rPr>
            </w:pPr>
          </w:p>
          <w:p w:rsidR="00745728" w:rsidRDefault="00745728" w:rsidP="00D32F85">
            <w:pPr>
              <w:rPr>
                <w:rFonts w:ascii="Arial" w:hAnsi="Arial" w:cs="Arial"/>
              </w:rPr>
            </w:pPr>
            <w:r w:rsidRPr="00745728">
              <w:rPr>
                <w:rFonts w:ascii="Arial" w:hAnsi="Arial" w:cs="Arial"/>
                <w:b/>
              </w:rPr>
              <w:t>AL</w:t>
            </w:r>
            <w:r>
              <w:rPr>
                <w:rFonts w:ascii="Arial" w:hAnsi="Arial" w:cs="Arial"/>
              </w:rPr>
              <w:t xml:space="preserve">: </w:t>
            </w:r>
            <w:r w:rsidRPr="00745728">
              <w:rPr>
                <w:rFonts w:ascii="Arial" w:hAnsi="Arial" w:cs="Arial"/>
              </w:rPr>
              <w:t>Members of the Regulatory Commission of Alaska unanimously voted Commissioner Robert Pickett to serve as the next commission chairman for a one-year period beginning July 1.</w:t>
            </w:r>
          </w:p>
          <w:p w:rsidR="00745728" w:rsidRDefault="00745728" w:rsidP="00D32F85">
            <w:pPr>
              <w:rPr>
                <w:rFonts w:ascii="Arial" w:hAnsi="Arial" w:cs="Arial"/>
              </w:rPr>
            </w:pPr>
          </w:p>
          <w:p w:rsidR="00745728" w:rsidRDefault="00745728" w:rsidP="00D32F85">
            <w:pPr>
              <w:rPr>
                <w:rFonts w:ascii="Arial" w:hAnsi="Arial" w:cs="Arial"/>
              </w:rPr>
            </w:pPr>
            <w:r w:rsidRPr="00745728">
              <w:rPr>
                <w:rFonts w:ascii="Arial" w:hAnsi="Arial" w:cs="Arial"/>
                <w:b/>
              </w:rPr>
              <w:t>NY</w:t>
            </w:r>
            <w:r>
              <w:rPr>
                <w:rFonts w:ascii="Arial" w:hAnsi="Arial" w:cs="Arial"/>
              </w:rPr>
              <w:t xml:space="preserve">: </w:t>
            </w:r>
            <w:r w:rsidRPr="00745728">
              <w:rPr>
                <w:rFonts w:ascii="Arial" w:hAnsi="Arial" w:cs="Arial"/>
              </w:rPr>
              <w:t>The New York Public Service Commission announced June 21 that Gov. Cuomo's appointments of Tracey Edwards and John Howard to serve as commissioners on the PSC were confirmed by the New York Senate.</w:t>
            </w:r>
          </w:p>
          <w:p w:rsidR="00745728" w:rsidRDefault="00745728" w:rsidP="00D32F85">
            <w:pPr>
              <w:rPr>
                <w:rFonts w:ascii="Arial" w:hAnsi="Arial" w:cs="Arial"/>
              </w:rPr>
            </w:pPr>
          </w:p>
          <w:p w:rsidR="00745728" w:rsidRDefault="00745728" w:rsidP="00D32F85">
            <w:pPr>
              <w:rPr>
                <w:rFonts w:ascii="Arial" w:hAnsi="Arial" w:cs="Arial"/>
              </w:rPr>
            </w:pPr>
            <w:r w:rsidRPr="00745728">
              <w:rPr>
                <w:rFonts w:ascii="Arial" w:hAnsi="Arial" w:cs="Arial"/>
                <w:b/>
              </w:rPr>
              <w:t>RI</w:t>
            </w:r>
            <w:r>
              <w:rPr>
                <w:rFonts w:ascii="Arial" w:hAnsi="Arial" w:cs="Arial"/>
              </w:rPr>
              <w:t xml:space="preserve">: </w:t>
            </w:r>
            <w:r w:rsidRPr="00745728">
              <w:rPr>
                <w:rFonts w:ascii="Arial" w:hAnsi="Arial" w:cs="Arial"/>
              </w:rPr>
              <w:t>On June 3, Gov. Raimondo appointed Laura Olton to a six-year term on the Rhode Island Public Utilities Commission expiring March 1, 2025. Olton was nominated to replace Commissioner Margaret Curran</w:t>
            </w:r>
            <w:r>
              <w:rPr>
                <w:rFonts w:ascii="Arial" w:hAnsi="Arial" w:cs="Arial"/>
              </w:rPr>
              <w:t>.</w:t>
            </w:r>
          </w:p>
          <w:p w:rsidR="00745728" w:rsidRDefault="00745728" w:rsidP="00D32F85">
            <w:pPr>
              <w:rPr>
                <w:rFonts w:ascii="Arial" w:hAnsi="Arial" w:cs="Arial"/>
              </w:rPr>
            </w:pPr>
          </w:p>
          <w:p w:rsidR="00745728" w:rsidRDefault="00745728" w:rsidP="00D32F85">
            <w:pPr>
              <w:rPr>
                <w:rFonts w:ascii="Arial" w:hAnsi="Arial" w:cs="Arial"/>
              </w:rPr>
            </w:pPr>
            <w:r w:rsidRPr="00745728">
              <w:rPr>
                <w:rFonts w:ascii="Arial" w:hAnsi="Arial" w:cs="Arial"/>
                <w:b/>
              </w:rPr>
              <w:t>TX</w:t>
            </w:r>
            <w:r>
              <w:rPr>
                <w:rFonts w:ascii="Arial" w:hAnsi="Arial" w:cs="Arial"/>
              </w:rPr>
              <w:t xml:space="preserve">: </w:t>
            </w:r>
            <w:r w:rsidRPr="00745728">
              <w:rPr>
                <w:rFonts w:ascii="Arial" w:hAnsi="Arial" w:cs="Arial"/>
              </w:rPr>
              <w:t>On June 18, Commissioner Wayne Christian</w:t>
            </w:r>
            <w:r>
              <w:rPr>
                <w:rFonts w:ascii="Arial" w:hAnsi="Arial" w:cs="Arial"/>
              </w:rPr>
              <w:t xml:space="preserve"> </w:t>
            </w:r>
            <w:r w:rsidRPr="00745728">
              <w:rPr>
                <w:rFonts w:ascii="Arial" w:hAnsi="Arial" w:cs="Arial"/>
              </w:rPr>
              <w:t>was elected chairman of the Railroad Commission of Texas by his fellow commissioners. His term as commissioner extends through December 2022. Christian will take over as chairman from Commissioner Christi Craddick</w:t>
            </w:r>
            <w:r>
              <w:rPr>
                <w:rFonts w:ascii="Arial" w:hAnsi="Arial" w:cs="Arial"/>
              </w:rPr>
              <w:t>.</w:t>
            </w:r>
          </w:p>
          <w:p w:rsidR="000C70F8" w:rsidRPr="00F31B28" w:rsidRDefault="000C70F8" w:rsidP="0061237E">
            <w:pPr>
              <w:rPr>
                <w:rFonts w:ascii="Arial" w:hAnsi="Arial" w:cs="Arial"/>
                <w:b/>
                <w:u w:val="single"/>
              </w:rPr>
            </w:pPr>
          </w:p>
          <w:p w:rsidR="00063A04" w:rsidRDefault="00063A04" w:rsidP="0061237E">
            <w:pPr>
              <w:rPr>
                <w:rFonts w:ascii="Arial" w:hAnsi="Arial" w:cs="Arial"/>
                <w:b/>
                <w:u w:val="single"/>
              </w:rPr>
            </w:pPr>
          </w:p>
          <w:p w:rsidR="008A2C67" w:rsidRPr="00F31B28" w:rsidRDefault="008A2C67" w:rsidP="0061237E">
            <w:pPr>
              <w:rPr>
                <w:rFonts w:ascii="Arial" w:hAnsi="Arial" w:cs="Arial"/>
                <w:b/>
                <w:u w:val="single"/>
              </w:rPr>
            </w:pPr>
            <w:bookmarkStart w:id="0" w:name="_GoBack"/>
            <w:bookmarkEnd w:id="0"/>
            <w:r w:rsidRPr="00F31B28">
              <w:rPr>
                <w:rFonts w:ascii="Arial" w:hAnsi="Arial" w:cs="Arial"/>
                <w:b/>
                <w:u w:val="single"/>
              </w:rPr>
              <w:t xml:space="preserve">Other Noteworthy Regulatory Action </w:t>
            </w:r>
          </w:p>
          <w:p w:rsidR="00E848FE" w:rsidRPr="00745728" w:rsidRDefault="00C11406" w:rsidP="0061237E">
            <w:pPr>
              <w:rPr>
                <w:rFonts w:ascii="Arial" w:hAnsi="Arial" w:cs="Arial"/>
              </w:rPr>
            </w:pPr>
            <w:r w:rsidRPr="00F31B28">
              <w:rPr>
                <w:rFonts w:ascii="Arial" w:hAnsi="Arial" w:cs="Arial"/>
                <w:b/>
              </w:rPr>
              <w:t xml:space="preserve">The following </w:t>
            </w:r>
            <w:proofErr w:type="gramStart"/>
            <w:r w:rsidRPr="00F31B28">
              <w:rPr>
                <w:rFonts w:ascii="Arial" w:hAnsi="Arial" w:cs="Arial"/>
                <w:b/>
              </w:rPr>
              <w:t>companies initiated</w:t>
            </w:r>
            <w:proofErr w:type="gramEnd"/>
            <w:r w:rsidRPr="00F31B28">
              <w:rPr>
                <w:rFonts w:ascii="Arial" w:hAnsi="Arial" w:cs="Arial"/>
                <w:b/>
              </w:rPr>
              <w:t xml:space="preserve"> rate proceedings</w:t>
            </w:r>
            <w:r w:rsidR="00E848FE" w:rsidRPr="00F31B28">
              <w:rPr>
                <w:rFonts w:ascii="Arial" w:hAnsi="Arial" w:cs="Arial"/>
                <w:b/>
              </w:rPr>
              <w:t xml:space="preserve"> during Q</w:t>
            </w:r>
            <w:r w:rsidR="00163CDD">
              <w:rPr>
                <w:rFonts w:ascii="Arial" w:hAnsi="Arial" w:cs="Arial"/>
                <w:b/>
              </w:rPr>
              <w:t>2</w:t>
            </w:r>
            <w:r w:rsidR="00E848FE" w:rsidRPr="00F31B28">
              <w:rPr>
                <w:rFonts w:ascii="Arial" w:hAnsi="Arial" w:cs="Arial"/>
                <w:b/>
              </w:rPr>
              <w:t xml:space="preserve"> 201</w:t>
            </w:r>
            <w:r w:rsidR="00697541" w:rsidRPr="00F31B28">
              <w:rPr>
                <w:rFonts w:ascii="Arial" w:hAnsi="Arial" w:cs="Arial"/>
                <w:b/>
              </w:rPr>
              <w:t>9</w:t>
            </w:r>
            <w:r w:rsidR="00E848FE" w:rsidRPr="00F31B28">
              <w:rPr>
                <w:rFonts w:ascii="Arial" w:hAnsi="Arial" w:cs="Arial"/>
                <w:b/>
              </w:rPr>
              <w:t>:</w:t>
            </w:r>
            <w:r w:rsidR="00745728">
              <w:rPr>
                <w:rFonts w:ascii="Arial" w:hAnsi="Arial" w:cs="Arial"/>
                <w:b/>
              </w:rPr>
              <w:t xml:space="preserve"> </w:t>
            </w:r>
            <w:r w:rsidR="00745728">
              <w:rPr>
                <w:rFonts w:ascii="Arial" w:hAnsi="Arial" w:cs="Arial"/>
              </w:rPr>
              <w:t xml:space="preserve">Piedmont Natural Gas Co. (NC), CenterPoint Energy Resources (AR), Elizabethtown Gas Co. (NJ), San Diego Gas &amp; Electric (CA), Southern California Gas Co. (CA), Washington Gas Light Co. (MD), Brooklyn Union Gas Co. (NY), KeySpan Gas East Corp. (NY), Avista Corp. (WA), NY State Electric &amp; Gas Corp. (NY), Rochester Gas &amp; Electric Corp. (NY), Columbia Gas of Maryland (MD), Northern States Power Co -WI (WI), MDU Resources Group Inc. (WY), Baltimore Gas and Electric Co. (MD), Atlanta Gas Light Co. (GA), Virginia Natural Gas Inc. (VA), Black Hills Distribution </w:t>
            </w:r>
            <w:r w:rsidR="00AF23F3">
              <w:rPr>
                <w:rFonts w:ascii="Arial" w:hAnsi="Arial" w:cs="Arial"/>
              </w:rPr>
              <w:t>(WY), Atmos Energy Corp. (KS), and Northern Utilities Inc. (ME).</w:t>
            </w:r>
            <w:r w:rsidR="00745728">
              <w:rPr>
                <w:rFonts w:ascii="Arial" w:hAnsi="Arial" w:cs="Arial"/>
              </w:rPr>
              <w:t xml:space="preserve"> </w:t>
            </w:r>
          </w:p>
          <w:p w:rsidR="003A0B49" w:rsidRDefault="003A0B49" w:rsidP="0061237E">
            <w:pPr>
              <w:rPr>
                <w:rFonts w:ascii="Arial" w:hAnsi="Arial" w:cs="Arial"/>
                <w:b/>
                <w:u w:val="single"/>
              </w:rPr>
            </w:pPr>
          </w:p>
          <w:p w:rsidR="0066650B" w:rsidRDefault="0066650B" w:rsidP="0061237E">
            <w:pPr>
              <w:rPr>
                <w:rFonts w:ascii="Arial" w:hAnsi="Arial" w:cs="Arial"/>
                <w:b/>
                <w:u w:val="single"/>
              </w:rPr>
            </w:pPr>
            <w:r>
              <w:rPr>
                <w:rFonts w:ascii="Arial" w:hAnsi="Arial" w:cs="Arial"/>
                <w:b/>
                <w:u w:val="single"/>
              </w:rPr>
              <w:t>M&amp;A Activity</w:t>
            </w:r>
          </w:p>
          <w:p w:rsidR="006A307B" w:rsidRDefault="00ED6FA2" w:rsidP="00940660">
            <w:pPr>
              <w:rPr>
                <w:rFonts w:ascii="Arial" w:hAnsi="Arial" w:cs="Arial"/>
              </w:rPr>
            </w:pPr>
            <w:r w:rsidRPr="00ED6FA2">
              <w:rPr>
                <w:rFonts w:ascii="Arial" w:hAnsi="Arial" w:cs="Arial"/>
                <w:b/>
              </w:rPr>
              <w:t>Aqua America Inc./Peoples Natural Gas Co. LLC</w:t>
            </w:r>
            <w:r w:rsidRPr="00ED6FA2">
              <w:rPr>
                <w:rFonts w:ascii="Arial" w:hAnsi="Arial" w:cs="Arial"/>
              </w:rPr>
              <w:t xml:space="preserve"> — A settlement </w:t>
            </w:r>
            <w:r>
              <w:rPr>
                <w:rFonts w:ascii="Arial" w:hAnsi="Arial" w:cs="Arial"/>
              </w:rPr>
              <w:t>w</w:t>
            </w:r>
            <w:r w:rsidRPr="00ED6FA2">
              <w:rPr>
                <w:rFonts w:ascii="Arial" w:hAnsi="Arial" w:cs="Arial"/>
              </w:rPr>
              <w:t>as</w:t>
            </w:r>
            <w:r>
              <w:rPr>
                <w:rFonts w:ascii="Arial" w:hAnsi="Arial" w:cs="Arial"/>
              </w:rPr>
              <w:t xml:space="preserve"> </w:t>
            </w:r>
            <w:r w:rsidRPr="00ED6FA2">
              <w:rPr>
                <w:rFonts w:ascii="Arial" w:hAnsi="Arial" w:cs="Arial"/>
              </w:rPr>
              <w:t>reached by most of the parties to a proceeding in which the Pennsylvania Public Utility Commission is reviewing the proposed acquisition of Peoples Natural Gas Co. LLC and its Pennsylvania subsidiaries Peoples Equitable, which does business as Equitable Gas Co. LLC, and People Gas Co., also known as Peoples TWP LLC, by Aqua America. The agreement, which resolves all issues in the proceeding, calls for the PUC to approve the transaction, subject to certain conditions.</w:t>
            </w:r>
          </w:p>
          <w:p w:rsidR="00940660" w:rsidRPr="00B51D1F" w:rsidRDefault="00940660" w:rsidP="00940660">
            <w:pPr>
              <w:rPr>
                <w:rFonts w:ascii="Arial" w:hAnsi="Arial" w:cs="Arial"/>
              </w:rPr>
            </w:pPr>
          </w:p>
        </w:tc>
      </w:tr>
      <w:tr w:rsidR="00DE3CEE" w:rsidRPr="00B51D1F" w:rsidTr="004E793E">
        <w:trPr>
          <w:trHeight w:val="279"/>
        </w:trPr>
        <w:tc>
          <w:tcPr>
            <w:tcW w:w="9895" w:type="dxa"/>
            <w:gridSpan w:val="2"/>
            <w:tcBorders>
              <w:top w:val="nil"/>
            </w:tcBorders>
            <w:shd w:val="clear" w:color="auto" w:fill="1F4E79" w:themeFill="accent1" w:themeFillShade="80"/>
          </w:tcPr>
          <w:p w:rsidR="00DE3CEE" w:rsidRPr="001F5597" w:rsidRDefault="001A22FE" w:rsidP="001A22F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 xml:space="preserve">Rate Case Decisions </w:t>
            </w:r>
          </w:p>
        </w:tc>
      </w:tr>
      <w:tr w:rsidR="009B2D68" w:rsidRPr="00B51D1F" w:rsidTr="004E793E">
        <w:trPr>
          <w:trHeight w:val="279"/>
        </w:trPr>
        <w:tc>
          <w:tcPr>
            <w:tcW w:w="9895" w:type="dxa"/>
            <w:gridSpan w:val="2"/>
            <w:shd w:val="clear" w:color="auto" w:fill="1F4E79" w:themeFill="accent1" w:themeFillShade="80"/>
          </w:tcPr>
          <w:p w:rsidR="009B2D68" w:rsidRPr="00B51D1F" w:rsidRDefault="00F72025" w:rsidP="00376064">
            <w:pPr>
              <w:jc w:val="center"/>
              <w:rPr>
                <w:rFonts w:ascii="Arial" w:hAnsi="Arial" w:cs="Arial"/>
                <w:b/>
                <w:color w:val="FFFFFF" w:themeColor="background1"/>
              </w:rPr>
            </w:pPr>
            <w:r>
              <w:rPr>
                <w:rFonts w:ascii="Arial" w:hAnsi="Arial" w:cs="Arial"/>
                <w:b/>
                <w:color w:val="FFFFFF" w:themeColor="background1"/>
              </w:rPr>
              <w:t xml:space="preserve">April </w:t>
            </w:r>
            <w:r w:rsidR="00D32F85">
              <w:rPr>
                <w:rFonts w:ascii="Arial" w:hAnsi="Arial" w:cs="Arial"/>
                <w:b/>
                <w:color w:val="FFFFFF" w:themeColor="background1"/>
              </w:rPr>
              <w:t>30</w:t>
            </w:r>
            <w:r>
              <w:rPr>
                <w:rFonts w:ascii="Arial" w:hAnsi="Arial" w:cs="Arial"/>
                <w:b/>
                <w:color w:val="FFFFFF" w:themeColor="background1"/>
              </w:rPr>
              <w:t>, 2019</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auto"/>
          </w:tcPr>
          <w:p w:rsidR="009B2D68" w:rsidRPr="00B51D1F" w:rsidRDefault="00D32F85" w:rsidP="00C03B0F">
            <w:pPr>
              <w:rPr>
                <w:rFonts w:ascii="Arial" w:hAnsi="Arial" w:cs="Arial"/>
              </w:rPr>
            </w:pPr>
            <w:r w:rsidRPr="00D32F85">
              <w:rPr>
                <w:rFonts w:ascii="Arial" w:hAnsi="Arial" w:cs="Arial"/>
              </w:rPr>
              <w:t>Louisville Gas and Electric Co.</w:t>
            </w:r>
          </w:p>
        </w:tc>
      </w:tr>
      <w:tr w:rsidR="009B2D68" w:rsidRPr="00B51D1F" w:rsidTr="002E5982">
        <w:trPr>
          <w:trHeight w:val="279"/>
        </w:trPr>
        <w:tc>
          <w:tcPr>
            <w:tcW w:w="2245" w:type="dxa"/>
            <w:shd w:val="clear" w:color="auto" w:fill="1F4E79" w:themeFill="accent1" w:themeFillShade="80"/>
          </w:tcPr>
          <w:p w:rsidR="009B2D68" w:rsidRPr="00B51D1F" w:rsidRDefault="003A0B49" w:rsidP="005A2F42">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auto"/>
          </w:tcPr>
          <w:p w:rsidR="009B2D68" w:rsidRPr="00B51D1F" w:rsidRDefault="00973AEB" w:rsidP="00CD3DC9">
            <w:pPr>
              <w:rPr>
                <w:rFonts w:ascii="Arial" w:hAnsi="Arial" w:cs="Arial"/>
              </w:rPr>
            </w:pPr>
            <w:r>
              <w:rPr>
                <w:rFonts w:ascii="Arial" w:hAnsi="Arial" w:cs="Arial"/>
              </w:rPr>
              <w:t>K</w:t>
            </w:r>
            <w:r w:rsidR="00D32F85">
              <w:rPr>
                <w:rFonts w:ascii="Arial" w:hAnsi="Arial" w:cs="Arial"/>
              </w:rPr>
              <w:t>entucky</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auto"/>
          </w:tcPr>
          <w:p w:rsidR="009B2D68" w:rsidRPr="00E40DE3" w:rsidRDefault="00123E8D" w:rsidP="004262A4">
            <w:pPr>
              <w:rPr>
                <w:rFonts w:ascii="Arial" w:hAnsi="Arial" w:cs="Arial"/>
                <w:color w:val="0000FF"/>
              </w:rPr>
            </w:pPr>
            <w:hyperlink r:id="rId9" w:history="1">
              <w:r w:rsidRPr="00123E8D">
                <w:rPr>
                  <w:rStyle w:val="Hyperlink"/>
                  <w:rFonts w:ascii="Arial" w:hAnsi="Arial" w:cs="Arial"/>
                </w:rPr>
                <w:t>C-2018-0</w:t>
              </w:r>
              <w:r w:rsidRPr="00123E8D">
                <w:rPr>
                  <w:rStyle w:val="Hyperlink"/>
                  <w:rFonts w:ascii="Arial" w:hAnsi="Arial" w:cs="Arial"/>
                </w:rPr>
                <w:t>0295</w:t>
              </w:r>
            </w:hyperlink>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auto"/>
          </w:tcPr>
          <w:p w:rsidR="009B2D68" w:rsidRPr="00B51D1F" w:rsidRDefault="003F3F02" w:rsidP="006F213E">
            <w:pPr>
              <w:rPr>
                <w:rFonts w:ascii="Arial" w:hAnsi="Arial" w:cs="Arial"/>
              </w:rPr>
            </w:pPr>
            <w:r>
              <w:rPr>
                <w:rFonts w:ascii="Arial" w:hAnsi="Arial" w:cs="Arial"/>
              </w:rPr>
              <w:t>$18.6 million</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auto"/>
          </w:tcPr>
          <w:p w:rsidR="009B2D68" w:rsidRPr="00B51D1F" w:rsidRDefault="00123E8D" w:rsidP="005D2082">
            <w:pPr>
              <w:rPr>
                <w:rFonts w:ascii="Arial" w:hAnsi="Arial" w:cs="Arial"/>
              </w:rPr>
            </w:pPr>
            <w:r>
              <w:rPr>
                <w:rFonts w:ascii="Arial" w:hAnsi="Arial" w:cs="Arial"/>
              </w:rPr>
              <w:t>9.73%</w:t>
            </w:r>
          </w:p>
        </w:tc>
      </w:tr>
      <w:tr w:rsidR="005A2F42" w:rsidRPr="00B51D1F" w:rsidTr="002E5982">
        <w:trPr>
          <w:trHeight w:val="279"/>
        </w:trPr>
        <w:tc>
          <w:tcPr>
            <w:tcW w:w="2245" w:type="dxa"/>
            <w:shd w:val="clear" w:color="auto" w:fill="1F4E79" w:themeFill="accent1" w:themeFillShade="80"/>
          </w:tcPr>
          <w:p w:rsidR="005A2F42" w:rsidRPr="00B51D1F" w:rsidRDefault="005A2F42" w:rsidP="005A2F42">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auto"/>
          </w:tcPr>
          <w:p w:rsidR="005A2F42" w:rsidRPr="00B51D1F" w:rsidRDefault="003E686B" w:rsidP="00FD1550">
            <w:pPr>
              <w:rPr>
                <w:rFonts w:ascii="Arial" w:hAnsi="Arial" w:cs="Arial"/>
              </w:rPr>
            </w:pPr>
            <w:r>
              <w:rPr>
                <w:rFonts w:ascii="Arial" w:hAnsi="Arial" w:cs="Arial"/>
              </w:rPr>
              <w:t xml:space="preserve">Kentucky Office of the Attorney General, Sierra Club, </w:t>
            </w:r>
            <w:r w:rsidR="00D63DE7">
              <w:rPr>
                <w:rFonts w:ascii="Arial" w:hAnsi="Arial" w:cs="Arial"/>
              </w:rPr>
              <w:t xml:space="preserve">Kentucky School Boards Association, </w:t>
            </w:r>
            <w:r w:rsidR="00211F72">
              <w:rPr>
                <w:rFonts w:ascii="Arial" w:hAnsi="Arial" w:cs="Arial"/>
              </w:rPr>
              <w:t xml:space="preserve">Louisville Metro, Association of Community Ministries, Walmart, United States Department of Defense, Kentucky Industrial Utility Customers Inc., </w:t>
            </w:r>
            <w:r w:rsidR="00211F72" w:rsidRPr="00211F72">
              <w:rPr>
                <w:rFonts w:ascii="Arial" w:hAnsi="Arial" w:cs="Arial"/>
              </w:rPr>
              <w:t>Metropolitan Housing Coalition</w:t>
            </w:r>
            <w:r w:rsidR="00211F72">
              <w:rPr>
                <w:rFonts w:ascii="Arial" w:hAnsi="Arial" w:cs="Arial"/>
              </w:rPr>
              <w:t>, and Kroger.</w:t>
            </w:r>
          </w:p>
        </w:tc>
      </w:tr>
      <w:tr w:rsidR="005A2F42" w:rsidRPr="00B51D1F" w:rsidTr="004E793E">
        <w:trPr>
          <w:trHeight w:val="287"/>
        </w:trPr>
        <w:tc>
          <w:tcPr>
            <w:tcW w:w="9895" w:type="dxa"/>
            <w:gridSpan w:val="2"/>
            <w:shd w:val="clear" w:color="auto" w:fill="1F4E79" w:themeFill="accent1" w:themeFillShade="80"/>
          </w:tcPr>
          <w:p w:rsidR="005A2F42" w:rsidRPr="00B51D1F" w:rsidRDefault="005A2F42" w:rsidP="009B2D68">
            <w:pPr>
              <w:jc w:val="center"/>
              <w:rPr>
                <w:rFonts w:ascii="Arial" w:hAnsi="Arial" w:cs="Arial"/>
                <w:b/>
                <w:color w:val="FFFFFF" w:themeColor="background1"/>
              </w:rPr>
            </w:pPr>
            <w:r w:rsidRPr="00B51D1F">
              <w:rPr>
                <w:rFonts w:ascii="Arial" w:hAnsi="Arial" w:cs="Arial"/>
                <w:b/>
                <w:color w:val="FFFFFF" w:themeColor="background1"/>
              </w:rPr>
              <w:t>Case Summary</w:t>
            </w:r>
          </w:p>
        </w:tc>
      </w:tr>
      <w:tr w:rsidR="005A2F42" w:rsidRPr="00B51D1F" w:rsidTr="004E793E">
        <w:trPr>
          <w:trHeight w:val="279"/>
        </w:trPr>
        <w:tc>
          <w:tcPr>
            <w:tcW w:w="9895" w:type="dxa"/>
            <w:gridSpan w:val="2"/>
            <w:shd w:val="clear" w:color="auto" w:fill="auto"/>
          </w:tcPr>
          <w:p w:rsidR="003E686B" w:rsidRDefault="003E686B" w:rsidP="003E686B">
            <w:pPr>
              <w:rPr>
                <w:rFonts w:ascii="Arial" w:hAnsi="Arial" w:cs="Arial"/>
              </w:rPr>
            </w:pPr>
            <w:r w:rsidRPr="003E686B">
              <w:rPr>
                <w:rFonts w:ascii="Arial" w:hAnsi="Arial" w:cs="Arial"/>
              </w:rPr>
              <w:t xml:space="preserve">The Kentucky Public Service Commission adopted a partial settlement on April 30, authorizing PPL Corp. subsidiary Louisville Gas and Electric Co., or LG&amp;E, electric and gas base rate increases of $2.1 million and $18.6 million, respectively. </w:t>
            </w:r>
            <w:r>
              <w:rPr>
                <w:rFonts w:ascii="Arial" w:hAnsi="Arial" w:cs="Arial"/>
              </w:rPr>
              <w:t>LG&amp;E had requested a gas rate increase of $24.9 million.</w:t>
            </w:r>
          </w:p>
          <w:p w:rsidR="003E686B" w:rsidRDefault="003E686B" w:rsidP="003E686B">
            <w:pPr>
              <w:rPr>
                <w:rFonts w:ascii="Arial" w:hAnsi="Arial" w:cs="Arial"/>
              </w:rPr>
            </w:pPr>
          </w:p>
          <w:p w:rsidR="00973AEB" w:rsidRDefault="003E686B" w:rsidP="003E686B">
            <w:pPr>
              <w:rPr>
                <w:rFonts w:ascii="Arial" w:hAnsi="Arial" w:cs="Arial"/>
              </w:rPr>
            </w:pPr>
            <w:r w:rsidRPr="003E686B">
              <w:rPr>
                <w:rFonts w:ascii="Arial" w:hAnsi="Arial" w:cs="Arial"/>
              </w:rPr>
              <w:t>The 9.725% equity return specified in the approved settlement for LG&amp;E’s gas business i</w:t>
            </w:r>
            <w:r>
              <w:rPr>
                <w:rFonts w:ascii="Arial" w:hAnsi="Arial" w:cs="Arial"/>
              </w:rPr>
              <w:t>s</w:t>
            </w:r>
            <w:r w:rsidRPr="003E686B">
              <w:rPr>
                <w:rFonts w:ascii="Arial" w:hAnsi="Arial" w:cs="Arial"/>
              </w:rPr>
              <w:t xml:space="preserve"> above the 9.59% average ROE accorded gas utilities nationwide in 2018.</w:t>
            </w:r>
            <w:r w:rsidR="005858C3">
              <w:rPr>
                <w:rFonts w:ascii="Arial" w:hAnsi="Arial" w:cs="Arial"/>
              </w:rPr>
              <w:t xml:space="preserve"> </w:t>
            </w:r>
            <w:r w:rsidR="005858C3" w:rsidRPr="005858C3">
              <w:rPr>
                <w:rFonts w:ascii="Arial" w:hAnsi="Arial" w:cs="Arial"/>
              </w:rPr>
              <w:t>The requested gas rate increase was premised upon a 10.42% return on equity (52.84% of capital) and a 7.62% return on an average rate base valued at $788.4 million for a test year ending April 30, 2020.</w:t>
            </w:r>
          </w:p>
          <w:p w:rsidR="005858C3" w:rsidRDefault="005858C3" w:rsidP="003E686B">
            <w:pPr>
              <w:rPr>
                <w:rFonts w:ascii="Arial" w:hAnsi="Arial" w:cs="Arial"/>
              </w:rPr>
            </w:pPr>
          </w:p>
          <w:p w:rsidR="005858C3" w:rsidRDefault="005858C3" w:rsidP="003E686B">
            <w:pPr>
              <w:rPr>
                <w:rFonts w:ascii="Arial" w:hAnsi="Arial" w:cs="Arial"/>
              </w:rPr>
            </w:pPr>
            <w:r w:rsidRPr="005858C3">
              <w:rPr>
                <w:rFonts w:ascii="Arial" w:hAnsi="Arial" w:cs="Arial"/>
              </w:rPr>
              <w:t xml:space="preserve">On March 1, all intervenors except the Sierra Club filed a partial settlement calling for a $3.9 million a $19.3 million gas base rate increase premised upon a 9.725% ROE. The partial settlement was otherwise silent regarding traditional rate case parameters. </w:t>
            </w:r>
          </w:p>
          <w:p w:rsidR="005858C3" w:rsidRDefault="005858C3" w:rsidP="003E686B">
            <w:pPr>
              <w:rPr>
                <w:rFonts w:ascii="Arial" w:hAnsi="Arial" w:cs="Arial"/>
              </w:rPr>
            </w:pPr>
          </w:p>
          <w:p w:rsidR="005858C3" w:rsidRDefault="005858C3" w:rsidP="003E686B">
            <w:pPr>
              <w:rPr>
                <w:rFonts w:ascii="Arial" w:hAnsi="Arial" w:cs="Arial"/>
              </w:rPr>
            </w:pPr>
            <w:r w:rsidRPr="005858C3">
              <w:rPr>
                <w:rFonts w:ascii="Arial" w:hAnsi="Arial" w:cs="Arial"/>
              </w:rPr>
              <w:t>The partial settlement resolved all outstanding matters except LG&amp;E’s 401(k) matching plan contributions for employees that are also covered by the company’s defined-benefit retirement plan; the amount of, and the daily versus monthly format of, gas fixed customer charges; and the company’s proposal to split its usage based charges into fixed and variable components for “tariff purposes only.” LG&amp;E indicated that the unresolved issues did not “involve material amounts.”</w:t>
            </w:r>
          </w:p>
          <w:p w:rsidR="005858C3" w:rsidRDefault="005858C3" w:rsidP="003E686B">
            <w:pPr>
              <w:rPr>
                <w:rFonts w:ascii="Arial" w:hAnsi="Arial" w:cs="Arial"/>
              </w:rPr>
            </w:pPr>
          </w:p>
          <w:p w:rsidR="005858C3" w:rsidRPr="00C01EA6" w:rsidRDefault="005858C3" w:rsidP="003E686B">
            <w:pPr>
              <w:rPr>
                <w:rFonts w:ascii="Arial" w:hAnsi="Arial" w:cs="Arial"/>
              </w:rPr>
            </w:pPr>
            <w:r w:rsidRPr="005858C3">
              <w:rPr>
                <w:rFonts w:ascii="Arial" w:hAnsi="Arial" w:cs="Arial"/>
              </w:rPr>
              <w:t xml:space="preserve">On April 30, the PSC adopted the partial settlement and the addendum, with a relatively minor modification, and ruled on the outstanding matters. </w:t>
            </w:r>
            <w:r w:rsidR="000819E3" w:rsidRPr="000819E3">
              <w:rPr>
                <w:rFonts w:ascii="Arial" w:hAnsi="Arial" w:cs="Arial"/>
              </w:rPr>
              <w:t>The PSC approved LG&amp;E’s proposal to switch to a daily fixed charge for residential customers, finding the change to be “reasonable.”</w:t>
            </w:r>
            <w:r w:rsidR="000819E3">
              <w:rPr>
                <w:rFonts w:ascii="Arial" w:hAnsi="Arial" w:cs="Arial"/>
              </w:rPr>
              <w:t xml:space="preserve"> </w:t>
            </w:r>
            <w:proofErr w:type="gramStart"/>
            <w:r w:rsidRPr="005858C3">
              <w:rPr>
                <w:rFonts w:ascii="Arial" w:hAnsi="Arial" w:cs="Arial"/>
              </w:rPr>
              <w:t>As</w:t>
            </w:r>
            <w:proofErr w:type="gramEnd"/>
            <w:r w:rsidRPr="005858C3">
              <w:rPr>
                <w:rFonts w:ascii="Arial" w:hAnsi="Arial" w:cs="Arial"/>
              </w:rPr>
              <w:t xml:space="preserve"> a result of the commission’s decision on the retirement plan funding issue, the authorized electric and gas rate hikes were $2.1 million and $18.6 million, respectively. The new rates took effect May 1.</w:t>
            </w:r>
          </w:p>
        </w:tc>
      </w:tr>
      <w:tr w:rsidR="008209DD" w:rsidRPr="00B51D1F" w:rsidTr="004E793E">
        <w:trPr>
          <w:trHeight w:val="279"/>
        </w:trPr>
        <w:tc>
          <w:tcPr>
            <w:tcW w:w="9895" w:type="dxa"/>
            <w:gridSpan w:val="2"/>
            <w:shd w:val="clear" w:color="auto" w:fill="1F4E79" w:themeFill="accent1" w:themeFillShade="80"/>
          </w:tcPr>
          <w:p w:rsidR="008209DD" w:rsidRPr="00B51D1F" w:rsidRDefault="00E55C71" w:rsidP="005F3DEB">
            <w:pPr>
              <w:jc w:val="center"/>
              <w:rPr>
                <w:rFonts w:ascii="Arial" w:hAnsi="Arial" w:cs="Arial"/>
                <w:b/>
                <w:color w:val="FFFFFF" w:themeColor="background1"/>
              </w:rPr>
            </w:pPr>
            <w:r>
              <w:rPr>
                <w:rFonts w:ascii="Arial" w:hAnsi="Arial" w:cs="Arial"/>
                <w:b/>
                <w:color w:val="FFFFFF" w:themeColor="background1"/>
              </w:rPr>
              <w:t>May</w:t>
            </w:r>
            <w:r w:rsidR="0087324D">
              <w:rPr>
                <w:rFonts w:ascii="Arial" w:hAnsi="Arial" w:cs="Arial"/>
                <w:b/>
                <w:color w:val="FFFFFF" w:themeColor="background1"/>
              </w:rPr>
              <w:t xml:space="preserve"> 3</w:t>
            </w:r>
            <w:r w:rsidR="00973AEB">
              <w:rPr>
                <w:rFonts w:ascii="Arial" w:hAnsi="Arial" w:cs="Arial"/>
                <w:b/>
                <w:color w:val="FFFFFF" w:themeColor="background1"/>
              </w:rPr>
              <w:t>, 2019</w:t>
            </w:r>
          </w:p>
        </w:tc>
      </w:tr>
      <w:tr w:rsidR="008209DD" w:rsidRPr="00B51D1F" w:rsidTr="002E5982">
        <w:trPr>
          <w:trHeight w:val="279"/>
        </w:trPr>
        <w:tc>
          <w:tcPr>
            <w:tcW w:w="2245" w:type="dxa"/>
            <w:shd w:val="clear" w:color="auto" w:fill="1F4E79" w:themeFill="accent1" w:themeFillShade="80"/>
          </w:tcPr>
          <w:p w:rsidR="008209DD" w:rsidRPr="00B51D1F" w:rsidRDefault="008209DD" w:rsidP="00AD3B4B">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FFFFFF" w:themeFill="background1"/>
          </w:tcPr>
          <w:p w:rsidR="008209DD" w:rsidRPr="00B51D1F" w:rsidRDefault="00B11D7B" w:rsidP="00C34414">
            <w:pPr>
              <w:rPr>
                <w:rFonts w:ascii="Arial" w:hAnsi="Arial" w:cs="Arial"/>
              </w:rPr>
            </w:pPr>
            <w:r>
              <w:rPr>
                <w:rFonts w:ascii="Arial" w:hAnsi="Arial" w:cs="Arial"/>
              </w:rPr>
              <w:t>Spire Missouri Inc.</w:t>
            </w:r>
          </w:p>
        </w:tc>
      </w:tr>
      <w:tr w:rsidR="008209DD" w:rsidRPr="00B51D1F" w:rsidTr="002E5982">
        <w:trPr>
          <w:trHeight w:val="279"/>
        </w:trPr>
        <w:tc>
          <w:tcPr>
            <w:tcW w:w="2245" w:type="dxa"/>
            <w:shd w:val="clear" w:color="auto" w:fill="1F4E79" w:themeFill="accent1" w:themeFillShade="80"/>
          </w:tcPr>
          <w:p w:rsidR="008209DD" w:rsidRPr="00B51D1F" w:rsidRDefault="003A0B49" w:rsidP="00AD3B4B">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FFFFFF" w:themeFill="background1"/>
          </w:tcPr>
          <w:p w:rsidR="008209DD" w:rsidRPr="00B51D1F" w:rsidRDefault="00E55C71" w:rsidP="00CD3DC9">
            <w:pPr>
              <w:rPr>
                <w:rFonts w:ascii="Arial" w:hAnsi="Arial" w:cs="Arial"/>
              </w:rPr>
            </w:pPr>
            <w:r>
              <w:rPr>
                <w:rFonts w:ascii="Arial" w:hAnsi="Arial" w:cs="Arial"/>
              </w:rPr>
              <w:t>Missouri</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FFFFFF" w:themeFill="background1"/>
          </w:tcPr>
          <w:p w:rsidR="00644EA0" w:rsidRPr="00683905" w:rsidRDefault="00D63DE7" w:rsidP="00644EA0">
            <w:pPr>
              <w:rPr>
                <w:rFonts w:ascii="Arial" w:hAnsi="Arial" w:cs="Arial"/>
                <w:color w:val="0000FF"/>
                <w:u w:val="single"/>
              </w:rPr>
            </w:pPr>
            <w:hyperlink r:id="rId10" w:history="1">
              <w:r w:rsidR="00105C45" w:rsidRPr="00D63DE7">
                <w:rPr>
                  <w:rStyle w:val="Hyperlink"/>
                  <w:rFonts w:ascii="Arial" w:hAnsi="Arial" w:cs="Arial"/>
                  <w:b/>
                  <w:bCs/>
                </w:rPr>
                <w:t>2019-0116</w:t>
              </w:r>
            </w:hyperlink>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FFFFFF" w:themeFill="background1"/>
          </w:tcPr>
          <w:p w:rsidR="00644EA0" w:rsidRPr="00B51D1F" w:rsidRDefault="00105C45" w:rsidP="00644EA0">
            <w:pPr>
              <w:rPr>
                <w:rFonts w:ascii="Arial" w:hAnsi="Arial" w:cs="Arial"/>
              </w:rPr>
            </w:pPr>
            <w:r w:rsidRPr="00105C45">
              <w:rPr>
                <w:rFonts w:ascii="Arial" w:hAnsi="Arial" w:cs="Arial"/>
              </w:rPr>
              <w:t>$6,425,514</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lastRenderedPageBreak/>
              <w:t>Approved ROE</w:t>
            </w:r>
          </w:p>
        </w:tc>
        <w:tc>
          <w:tcPr>
            <w:tcW w:w="7650" w:type="dxa"/>
            <w:shd w:val="clear" w:color="auto" w:fill="FFFFFF" w:themeFill="background1"/>
          </w:tcPr>
          <w:p w:rsidR="00644EA0" w:rsidRPr="00B51D1F" w:rsidRDefault="00644EA0" w:rsidP="00644EA0">
            <w:pPr>
              <w:rPr>
                <w:rFonts w:ascii="Arial" w:hAnsi="Arial" w:cs="Arial"/>
              </w:rPr>
            </w:pP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FFFFFF" w:themeFill="background1"/>
          </w:tcPr>
          <w:p w:rsidR="006531A4" w:rsidRPr="00B51D1F" w:rsidRDefault="006531A4" w:rsidP="006531A4">
            <w:pPr>
              <w:rPr>
                <w:rFonts w:ascii="Arial" w:hAnsi="Arial" w:cs="Arial"/>
              </w:rPr>
            </w:pPr>
          </w:p>
        </w:tc>
      </w:tr>
      <w:tr w:rsidR="006531A4" w:rsidRPr="00B51D1F" w:rsidTr="004E793E">
        <w:trPr>
          <w:trHeight w:val="279"/>
        </w:trPr>
        <w:tc>
          <w:tcPr>
            <w:tcW w:w="9895" w:type="dxa"/>
            <w:gridSpan w:val="2"/>
            <w:shd w:val="clear" w:color="auto" w:fill="1F4E79" w:themeFill="accent1" w:themeFillShade="80"/>
          </w:tcPr>
          <w:p w:rsidR="006531A4" w:rsidRPr="00B51D1F" w:rsidRDefault="006531A4" w:rsidP="006531A4">
            <w:pPr>
              <w:jc w:val="center"/>
              <w:rPr>
                <w:rFonts w:ascii="Arial" w:hAnsi="Arial" w:cs="Arial"/>
                <w:b/>
                <w:color w:val="FFFFFF" w:themeColor="background1"/>
              </w:rPr>
            </w:pPr>
            <w:r w:rsidRPr="00B51D1F">
              <w:rPr>
                <w:rFonts w:ascii="Arial" w:hAnsi="Arial" w:cs="Arial"/>
                <w:b/>
                <w:color w:val="FFFFFF" w:themeColor="background1"/>
              </w:rPr>
              <w:t xml:space="preserve">Case Summary </w:t>
            </w:r>
          </w:p>
        </w:tc>
      </w:tr>
      <w:tr w:rsidR="006531A4" w:rsidRPr="00B51D1F" w:rsidTr="004E793E">
        <w:trPr>
          <w:trHeight w:val="279"/>
        </w:trPr>
        <w:tc>
          <w:tcPr>
            <w:tcW w:w="9895" w:type="dxa"/>
            <w:gridSpan w:val="2"/>
            <w:shd w:val="clear" w:color="auto" w:fill="FFFFFF" w:themeFill="background1"/>
          </w:tcPr>
          <w:p w:rsidR="003D3465" w:rsidRDefault="003D3465" w:rsidP="00973AEB">
            <w:pPr>
              <w:tabs>
                <w:tab w:val="left" w:pos="390"/>
                <w:tab w:val="left" w:pos="2280"/>
              </w:tabs>
              <w:rPr>
                <w:rFonts w:ascii="Arial" w:hAnsi="Arial" w:cs="Arial"/>
              </w:rPr>
            </w:pPr>
            <w:r>
              <w:rPr>
                <w:rFonts w:ascii="Arial" w:hAnsi="Arial" w:cs="Arial"/>
              </w:rPr>
              <w:t>On May 3 the Missouri Public Service Commission approved Spire’s infrastructure system replacement rider. The company’s rider-related changes reflect a 9.8% return on equity (54.16% of capital) and a 7.2% overall return, as previously authorized in the most recent base rate proceeding.</w:t>
            </w:r>
          </w:p>
          <w:p w:rsidR="003D3465" w:rsidRDefault="003D3465" w:rsidP="00973AEB">
            <w:pPr>
              <w:tabs>
                <w:tab w:val="left" w:pos="390"/>
                <w:tab w:val="left" w:pos="2280"/>
              </w:tabs>
              <w:rPr>
                <w:rFonts w:ascii="Arial" w:hAnsi="Arial" w:cs="Arial"/>
              </w:rPr>
            </w:pPr>
          </w:p>
          <w:p w:rsidR="006531A4" w:rsidRDefault="003D3465" w:rsidP="003D3465">
            <w:pPr>
              <w:tabs>
                <w:tab w:val="left" w:pos="390"/>
                <w:tab w:val="left" w:pos="2280"/>
              </w:tabs>
              <w:rPr>
                <w:rFonts w:ascii="Arial" w:hAnsi="Arial" w:cs="Arial"/>
              </w:rPr>
            </w:pPr>
            <w:r w:rsidRPr="003D3465">
              <w:rPr>
                <w:rFonts w:ascii="Arial" w:hAnsi="Arial" w:cs="Arial"/>
              </w:rPr>
              <w:t>On January 14, 2019, Spire Missouri, Inc.</w:t>
            </w:r>
            <w:r>
              <w:rPr>
                <w:rFonts w:ascii="Arial" w:hAnsi="Arial" w:cs="Arial"/>
              </w:rPr>
              <w:t xml:space="preserve"> </w:t>
            </w:r>
            <w:r w:rsidRPr="003D3465">
              <w:rPr>
                <w:rFonts w:ascii="Arial" w:hAnsi="Arial" w:cs="Arial"/>
              </w:rPr>
              <w:t>filed applications and petitions with the Missouri Public Service Commission to change its Infrastructure System Replacement Surcharg</w:t>
            </w:r>
            <w:r>
              <w:rPr>
                <w:rFonts w:ascii="Arial" w:hAnsi="Arial" w:cs="Arial"/>
              </w:rPr>
              <w:t>e</w:t>
            </w:r>
            <w:r w:rsidRPr="003D3465">
              <w:rPr>
                <w:rFonts w:ascii="Arial" w:hAnsi="Arial" w:cs="Arial"/>
              </w:rPr>
              <w:t xml:space="preserve"> in its Spire Missouri East and Spire Missouri West service territories. </w:t>
            </w:r>
            <w:r>
              <w:rPr>
                <w:rFonts w:ascii="Arial" w:hAnsi="Arial" w:cs="Arial"/>
              </w:rPr>
              <w:t xml:space="preserve">Order allowed </w:t>
            </w:r>
            <w:r w:rsidRPr="003D3465">
              <w:rPr>
                <w:rFonts w:ascii="Arial" w:hAnsi="Arial" w:cs="Arial"/>
              </w:rPr>
              <w:t>authorized t</w:t>
            </w:r>
            <w:r>
              <w:rPr>
                <w:rFonts w:ascii="Arial" w:hAnsi="Arial" w:cs="Arial"/>
              </w:rPr>
              <w:t xml:space="preserve">he </w:t>
            </w:r>
            <w:r w:rsidRPr="003D3465">
              <w:rPr>
                <w:rFonts w:ascii="Arial" w:hAnsi="Arial" w:cs="Arial"/>
              </w:rPr>
              <w:t>establish</w:t>
            </w:r>
            <w:r>
              <w:rPr>
                <w:rFonts w:ascii="Arial" w:hAnsi="Arial" w:cs="Arial"/>
              </w:rPr>
              <w:t>ment of an</w:t>
            </w:r>
            <w:r w:rsidRPr="003D3465">
              <w:rPr>
                <w:rFonts w:ascii="Arial" w:hAnsi="Arial" w:cs="Arial"/>
              </w:rPr>
              <w:t xml:space="preserve"> Infrastructure System</w:t>
            </w:r>
            <w:r>
              <w:rPr>
                <w:rFonts w:ascii="Arial" w:hAnsi="Arial" w:cs="Arial"/>
              </w:rPr>
              <w:t xml:space="preserve"> </w:t>
            </w:r>
            <w:r w:rsidRPr="003D3465">
              <w:rPr>
                <w:rFonts w:ascii="Arial" w:hAnsi="Arial" w:cs="Arial"/>
              </w:rPr>
              <w:t xml:space="preserve">Replacement Surcharges </w:t>
            </w:r>
            <w:proofErr w:type="gramStart"/>
            <w:r w:rsidRPr="003D3465">
              <w:rPr>
                <w:rFonts w:ascii="Arial" w:hAnsi="Arial" w:cs="Arial"/>
              </w:rPr>
              <w:t>sufficient</w:t>
            </w:r>
            <w:proofErr w:type="gramEnd"/>
            <w:r w:rsidRPr="003D3465">
              <w:rPr>
                <w:rFonts w:ascii="Arial" w:hAnsi="Arial" w:cs="Arial"/>
              </w:rPr>
              <w:t xml:space="preserve"> to recover ISRS revenues in the amount of</w:t>
            </w:r>
            <w:r>
              <w:rPr>
                <w:rFonts w:ascii="Arial" w:hAnsi="Arial" w:cs="Arial"/>
              </w:rPr>
              <w:t xml:space="preserve"> </w:t>
            </w:r>
            <w:r w:rsidRPr="003D3465">
              <w:rPr>
                <w:rFonts w:ascii="Arial" w:hAnsi="Arial" w:cs="Arial"/>
              </w:rPr>
              <w:t>$6,425,514 for its Spire Missouri East service territory</w:t>
            </w:r>
            <w:r>
              <w:rPr>
                <w:rFonts w:ascii="Arial" w:hAnsi="Arial" w:cs="Arial"/>
              </w:rPr>
              <w:t>.</w:t>
            </w:r>
            <w:r w:rsidRPr="003D3465">
              <w:rPr>
                <w:rFonts w:ascii="Arial" w:hAnsi="Arial" w:cs="Arial"/>
              </w:rPr>
              <w:t xml:space="preserve"> </w:t>
            </w:r>
            <w:r>
              <w:rPr>
                <w:rFonts w:ascii="Arial" w:hAnsi="Arial" w:cs="Arial"/>
              </w:rPr>
              <w:t xml:space="preserve">  </w:t>
            </w:r>
          </w:p>
          <w:p w:rsidR="00973AEB" w:rsidRPr="00B51D1F" w:rsidRDefault="00973AEB" w:rsidP="00973AEB">
            <w:pPr>
              <w:tabs>
                <w:tab w:val="left" w:pos="390"/>
                <w:tab w:val="left" w:pos="2280"/>
              </w:tabs>
              <w:rPr>
                <w:rFonts w:ascii="Arial" w:hAnsi="Arial" w:cs="Arial"/>
              </w:rPr>
            </w:pPr>
          </w:p>
        </w:tc>
      </w:tr>
      <w:tr w:rsidR="006531A4" w:rsidRPr="00B51D1F" w:rsidTr="004E793E">
        <w:trPr>
          <w:trHeight w:val="263"/>
        </w:trPr>
        <w:tc>
          <w:tcPr>
            <w:tcW w:w="9895" w:type="dxa"/>
            <w:gridSpan w:val="2"/>
            <w:shd w:val="clear" w:color="auto" w:fill="1F4E79" w:themeFill="accent1" w:themeFillShade="80"/>
          </w:tcPr>
          <w:p w:rsidR="006531A4" w:rsidRPr="00B51D1F" w:rsidRDefault="00E55C71" w:rsidP="006531A4">
            <w:pPr>
              <w:jc w:val="center"/>
              <w:rPr>
                <w:rFonts w:ascii="Arial" w:hAnsi="Arial" w:cs="Arial"/>
                <w:b/>
                <w:color w:val="FFFFFF" w:themeColor="background1"/>
              </w:rPr>
            </w:pPr>
            <w:r>
              <w:rPr>
                <w:rFonts w:ascii="Arial" w:hAnsi="Arial" w:cs="Arial"/>
                <w:b/>
                <w:color w:val="FFFFFF" w:themeColor="background1"/>
              </w:rPr>
              <w:t>May</w:t>
            </w:r>
            <w:r w:rsidR="0087324D">
              <w:rPr>
                <w:rFonts w:ascii="Arial" w:hAnsi="Arial" w:cs="Arial"/>
                <w:b/>
                <w:color w:val="FFFFFF" w:themeColor="background1"/>
              </w:rPr>
              <w:t xml:space="preserve"> </w:t>
            </w:r>
            <w:r w:rsidR="003D3465">
              <w:rPr>
                <w:rFonts w:ascii="Arial" w:hAnsi="Arial" w:cs="Arial"/>
                <w:b/>
                <w:color w:val="FFFFFF" w:themeColor="background1"/>
              </w:rPr>
              <w:t>3</w:t>
            </w:r>
            <w:r w:rsidR="00973AEB">
              <w:rPr>
                <w:rFonts w:ascii="Arial" w:hAnsi="Arial" w:cs="Arial"/>
                <w:b/>
                <w:color w:val="FFFFFF" w:themeColor="background1"/>
              </w:rPr>
              <w:t>, 2019</w:t>
            </w:r>
          </w:p>
        </w:tc>
      </w:tr>
      <w:tr w:rsidR="006531A4" w:rsidRPr="00B51D1F" w:rsidTr="002E5982">
        <w:trPr>
          <w:trHeight w:val="161"/>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B51D1F" w:rsidRDefault="003D3465" w:rsidP="006531A4">
            <w:pPr>
              <w:rPr>
                <w:rFonts w:ascii="Arial" w:hAnsi="Arial" w:cs="Arial"/>
              </w:rPr>
            </w:pPr>
            <w:r>
              <w:rPr>
                <w:rFonts w:ascii="Arial" w:hAnsi="Arial" w:cs="Arial"/>
              </w:rPr>
              <w:t>Missouri Gas Energy</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Pr>
                <w:rFonts w:ascii="Arial" w:hAnsi="Arial" w:cs="Arial"/>
                <w:b/>
                <w:color w:val="FFFFFF" w:themeColor="background1"/>
              </w:rPr>
              <w:t>State</w:t>
            </w:r>
          </w:p>
        </w:tc>
        <w:tc>
          <w:tcPr>
            <w:tcW w:w="7650" w:type="dxa"/>
          </w:tcPr>
          <w:p w:rsidR="006531A4" w:rsidRPr="00B51D1F" w:rsidRDefault="003D3465" w:rsidP="006531A4">
            <w:pPr>
              <w:rPr>
                <w:rFonts w:ascii="Arial" w:hAnsi="Arial" w:cs="Arial"/>
              </w:rPr>
            </w:pPr>
            <w:r>
              <w:rPr>
                <w:rFonts w:ascii="Arial" w:hAnsi="Arial" w:cs="Arial"/>
              </w:rPr>
              <w:t>Missouri</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B32D3D" w:rsidRDefault="00D63DE7" w:rsidP="006531A4">
            <w:pPr>
              <w:rPr>
                <w:rFonts w:ascii="Arial" w:hAnsi="Arial" w:cs="Arial"/>
                <w:color w:val="0000FF"/>
              </w:rPr>
            </w:pPr>
            <w:hyperlink r:id="rId11" w:history="1">
              <w:r w:rsidR="00105C45" w:rsidRPr="00D63DE7">
                <w:rPr>
                  <w:rStyle w:val="Hyperlink"/>
                  <w:rFonts w:ascii="Arial" w:hAnsi="Arial" w:cs="Arial"/>
                  <w:b/>
                  <w:bCs/>
                </w:rPr>
                <w:t>2019-0115</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B51D1F" w:rsidRDefault="00105C45" w:rsidP="006531A4">
            <w:pPr>
              <w:rPr>
                <w:rFonts w:ascii="Arial" w:hAnsi="Arial" w:cs="Arial"/>
              </w:rPr>
            </w:pPr>
            <w:r w:rsidRPr="00105C45">
              <w:rPr>
                <w:rFonts w:ascii="Arial" w:hAnsi="Arial" w:cs="Arial"/>
              </w:rPr>
              <w:t>$6,782,560</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6531A4" w:rsidP="006531A4">
            <w:pPr>
              <w:rPr>
                <w:rFonts w:ascii="Arial" w:hAnsi="Arial" w:cs="Arial"/>
              </w:rPr>
            </w:pP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6531A4" w:rsidRPr="00B51D1F" w:rsidRDefault="006531A4" w:rsidP="006531A4">
            <w:pPr>
              <w:rPr>
                <w:rFonts w:ascii="Arial" w:hAnsi="Arial" w:cs="Arial"/>
                <w:szCs w:val="18"/>
                <w:shd w:val="clear" w:color="auto" w:fill="FFFFFF"/>
              </w:rPr>
            </w:pPr>
          </w:p>
        </w:tc>
      </w:tr>
      <w:tr w:rsidR="006531A4" w:rsidRPr="00B51D1F" w:rsidTr="004E793E">
        <w:trPr>
          <w:trHeight w:val="263"/>
        </w:trPr>
        <w:tc>
          <w:tcPr>
            <w:tcW w:w="9895" w:type="dxa"/>
            <w:gridSpan w:val="2"/>
            <w:shd w:val="clear" w:color="auto" w:fill="1F4E79" w:themeFill="accent1" w:themeFillShade="80"/>
          </w:tcPr>
          <w:p w:rsidR="006531A4" w:rsidRPr="00B51D1F" w:rsidRDefault="006531A4" w:rsidP="006531A4">
            <w:pPr>
              <w:tabs>
                <w:tab w:val="left" w:pos="240"/>
                <w:tab w:val="center" w:pos="4839"/>
              </w:tabs>
              <w:rPr>
                <w:rFonts w:ascii="Arial" w:hAnsi="Arial" w:cs="Arial"/>
                <w:b/>
                <w:color w:val="FFFFFF" w:themeColor="background1"/>
              </w:rPr>
            </w:pPr>
            <w:r w:rsidRPr="00B51D1F">
              <w:rPr>
                <w:rFonts w:ascii="Arial" w:hAnsi="Arial" w:cs="Arial"/>
                <w:b/>
                <w:color w:val="FFFFFF" w:themeColor="background1"/>
              </w:rPr>
              <w:tab/>
            </w:r>
            <w:r w:rsidRPr="00B51D1F">
              <w:rPr>
                <w:rFonts w:ascii="Arial" w:hAnsi="Arial" w:cs="Arial"/>
                <w:b/>
                <w:color w:val="FFFFFF" w:themeColor="background1"/>
              </w:rPr>
              <w:tab/>
              <w:t>Case Summary</w:t>
            </w:r>
          </w:p>
        </w:tc>
      </w:tr>
      <w:tr w:rsidR="006531A4" w:rsidRPr="00B51D1F" w:rsidTr="004E793E">
        <w:trPr>
          <w:trHeight w:val="263"/>
        </w:trPr>
        <w:tc>
          <w:tcPr>
            <w:tcW w:w="9895" w:type="dxa"/>
            <w:gridSpan w:val="2"/>
            <w:shd w:val="clear" w:color="auto" w:fill="FFFFFF" w:themeFill="background1"/>
          </w:tcPr>
          <w:p w:rsidR="003D3465" w:rsidRPr="003D3465" w:rsidRDefault="003D3465" w:rsidP="003D3465">
            <w:pPr>
              <w:tabs>
                <w:tab w:val="left" w:pos="240"/>
                <w:tab w:val="center" w:pos="4839"/>
              </w:tabs>
              <w:rPr>
                <w:rFonts w:ascii="Arial" w:hAnsi="Arial" w:cs="Arial"/>
              </w:rPr>
            </w:pPr>
            <w:r w:rsidRPr="003D3465">
              <w:rPr>
                <w:rFonts w:ascii="Arial" w:hAnsi="Arial" w:cs="Arial"/>
              </w:rPr>
              <w:t>On May 3 the Missouri Public Service Commission approved Spire’s infrastructure system replacement rider. The company’s rider-related changes reflect a 9.8% return on equity (54.16% of capital) and a 7.2% overall return, as previously authorized in the most recent base rate proceeding.</w:t>
            </w:r>
          </w:p>
          <w:p w:rsidR="003D3465" w:rsidRPr="003D3465" w:rsidRDefault="003D3465" w:rsidP="003D3465">
            <w:pPr>
              <w:tabs>
                <w:tab w:val="left" w:pos="240"/>
                <w:tab w:val="center" w:pos="4839"/>
              </w:tabs>
              <w:rPr>
                <w:rFonts w:ascii="Arial" w:hAnsi="Arial" w:cs="Arial"/>
              </w:rPr>
            </w:pPr>
          </w:p>
          <w:p w:rsidR="003D3465" w:rsidRPr="003D3465" w:rsidRDefault="003D3465" w:rsidP="003D3465">
            <w:pPr>
              <w:tabs>
                <w:tab w:val="left" w:pos="240"/>
                <w:tab w:val="center" w:pos="4839"/>
              </w:tabs>
              <w:rPr>
                <w:rFonts w:ascii="Arial" w:hAnsi="Arial" w:cs="Arial"/>
              </w:rPr>
            </w:pPr>
            <w:r w:rsidRPr="003D3465">
              <w:rPr>
                <w:rFonts w:ascii="Arial" w:hAnsi="Arial" w:cs="Arial"/>
              </w:rPr>
              <w:t xml:space="preserve">On January 14, 2019, Spire Missouri, Inc. filed applications and petitions with the Missouri Public Service Commission to change its Infrastructure System Replacement Surcharge in its Spire Missouri East and Spire Missouri West service territories. Order allowed authorized the establishment of an Infrastructure System Replacement Surcharges </w:t>
            </w:r>
            <w:proofErr w:type="gramStart"/>
            <w:r w:rsidRPr="003D3465">
              <w:rPr>
                <w:rFonts w:ascii="Arial" w:hAnsi="Arial" w:cs="Arial"/>
              </w:rPr>
              <w:t>sufficient</w:t>
            </w:r>
            <w:proofErr w:type="gramEnd"/>
            <w:r w:rsidRPr="003D3465">
              <w:rPr>
                <w:rFonts w:ascii="Arial" w:hAnsi="Arial" w:cs="Arial"/>
              </w:rPr>
              <w:t xml:space="preserve"> to recover ISRS revenues in the amount of $6,425,514 for its Spire Missouri East service territory.   </w:t>
            </w:r>
          </w:p>
          <w:p w:rsidR="00973AEB" w:rsidRPr="00C34414" w:rsidRDefault="00973AEB" w:rsidP="00973AEB">
            <w:pPr>
              <w:tabs>
                <w:tab w:val="left" w:pos="240"/>
                <w:tab w:val="center" w:pos="4839"/>
              </w:tabs>
              <w:rPr>
                <w:rFonts w:ascii="Arial" w:hAnsi="Arial" w:cs="Arial"/>
              </w:rPr>
            </w:pPr>
          </w:p>
        </w:tc>
      </w:tr>
      <w:tr w:rsidR="006531A4" w:rsidRPr="00B51D1F" w:rsidTr="004E793E">
        <w:trPr>
          <w:trHeight w:val="279"/>
        </w:trPr>
        <w:tc>
          <w:tcPr>
            <w:tcW w:w="9895" w:type="dxa"/>
            <w:gridSpan w:val="2"/>
            <w:shd w:val="clear" w:color="auto" w:fill="1F4E79" w:themeFill="accent1" w:themeFillShade="80"/>
          </w:tcPr>
          <w:p w:rsidR="006531A4" w:rsidRPr="000602A6" w:rsidRDefault="00973AEB" w:rsidP="006531A4">
            <w:pPr>
              <w:jc w:val="center"/>
              <w:rPr>
                <w:rFonts w:ascii="Arial" w:hAnsi="Arial" w:cs="Arial"/>
                <w:b/>
                <w:color w:val="FFFFFF" w:themeColor="background1"/>
              </w:rPr>
            </w:pPr>
            <w:r>
              <w:rPr>
                <w:rFonts w:ascii="Arial" w:hAnsi="Arial" w:cs="Arial"/>
                <w:b/>
                <w:color w:val="FFFFFF" w:themeColor="background1"/>
              </w:rPr>
              <w:t xml:space="preserve">May </w:t>
            </w:r>
            <w:r w:rsidR="00E55C71">
              <w:rPr>
                <w:rFonts w:ascii="Arial" w:hAnsi="Arial" w:cs="Arial"/>
                <w:b/>
                <w:color w:val="FFFFFF" w:themeColor="background1"/>
              </w:rPr>
              <w:t>7</w:t>
            </w:r>
            <w:r>
              <w:rPr>
                <w:rFonts w:ascii="Arial" w:hAnsi="Arial" w:cs="Arial"/>
                <w:b/>
                <w:color w:val="FFFFFF" w:themeColor="background1"/>
              </w:rPr>
              <w:t>, 2019</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0602A6" w:rsidRDefault="00E55C71" w:rsidP="006531A4">
            <w:pPr>
              <w:rPr>
                <w:rFonts w:ascii="Arial" w:hAnsi="Arial" w:cs="Arial"/>
              </w:rPr>
            </w:pPr>
            <w:r>
              <w:rPr>
                <w:rFonts w:ascii="Arial" w:hAnsi="Arial" w:cs="Arial"/>
              </w:rPr>
              <w:t>Atmos Energy Corp.</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6531A4" w:rsidRPr="00B51D1F" w:rsidRDefault="00E55C71" w:rsidP="006531A4">
            <w:pPr>
              <w:rPr>
                <w:rFonts w:ascii="Arial" w:hAnsi="Arial" w:cs="Arial"/>
              </w:rPr>
            </w:pPr>
            <w:r>
              <w:rPr>
                <w:rFonts w:ascii="Arial" w:hAnsi="Arial" w:cs="Arial"/>
              </w:rPr>
              <w:t>Kentucky</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B51D1F" w:rsidRDefault="00967A85" w:rsidP="006531A4">
            <w:pPr>
              <w:rPr>
                <w:rFonts w:ascii="Arial" w:hAnsi="Arial" w:cs="Arial"/>
                <w:color w:val="0000FF"/>
                <w:u w:val="single"/>
              </w:rPr>
            </w:pPr>
            <w:hyperlink r:id="rId12" w:history="1">
              <w:r w:rsidRPr="00967A85">
                <w:rPr>
                  <w:rStyle w:val="Hyperlink"/>
                  <w:rFonts w:ascii="Arial" w:hAnsi="Arial" w:cs="Arial"/>
                </w:rPr>
                <w:t>2018-0</w:t>
              </w:r>
              <w:r w:rsidRPr="00967A85">
                <w:rPr>
                  <w:rStyle w:val="Hyperlink"/>
                  <w:rFonts w:ascii="Arial" w:hAnsi="Arial" w:cs="Arial"/>
                </w:rPr>
                <w:t>0281</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416BC2" w:rsidRDefault="00967A85" w:rsidP="006531A4">
            <w:pPr>
              <w:rPr>
                <w:rFonts w:ascii="Arial" w:hAnsi="Arial" w:cs="Arial"/>
              </w:rPr>
            </w:pPr>
            <w:r>
              <w:rPr>
                <w:rFonts w:ascii="Arial" w:hAnsi="Arial" w:cs="Arial"/>
              </w:rPr>
              <w:t>-$300,000</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967A85" w:rsidP="006531A4">
            <w:pPr>
              <w:rPr>
                <w:rFonts w:ascii="Arial" w:hAnsi="Arial" w:cs="Arial"/>
              </w:rPr>
            </w:pPr>
            <w:r>
              <w:rPr>
                <w:rFonts w:ascii="Arial" w:hAnsi="Arial" w:cs="Arial"/>
              </w:rPr>
              <w:t>9.65%</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Pr>
                <w:rFonts w:ascii="Arial" w:hAnsi="Arial" w:cs="Arial"/>
                <w:b/>
                <w:color w:val="FFFFFF" w:themeColor="background1"/>
              </w:rPr>
              <w:t>Intervenors</w:t>
            </w:r>
          </w:p>
        </w:tc>
        <w:tc>
          <w:tcPr>
            <w:tcW w:w="7650" w:type="dxa"/>
          </w:tcPr>
          <w:p w:rsidR="00125AE9" w:rsidRPr="00B51D1F" w:rsidRDefault="00D63DE7" w:rsidP="00125AE9">
            <w:pPr>
              <w:rPr>
                <w:rFonts w:ascii="Arial" w:hAnsi="Arial" w:cs="Arial"/>
              </w:rPr>
            </w:pPr>
            <w:r>
              <w:rPr>
                <w:rFonts w:ascii="Arial" w:hAnsi="Arial" w:cs="Arial"/>
              </w:rPr>
              <w:t>Office of the Kentucky Attorney General</w:t>
            </w:r>
          </w:p>
        </w:tc>
      </w:tr>
      <w:tr w:rsidR="00125AE9" w:rsidRPr="00B51D1F" w:rsidTr="004E793E">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4E793E">
        <w:trPr>
          <w:trHeight w:val="263"/>
        </w:trPr>
        <w:tc>
          <w:tcPr>
            <w:tcW w:w="9895" w:type="dxa"/>
            <w:gridSpan w:val="2"/>
            <w:shd w:val="clear" w:color="auto" w:fill="FFFFFF" w:themeFill="background1"/>
          </w:tcPr>
          <w:p w:rsidR="00125AE9" w:rsidRDefault="00C82CCF" w:rsidP="00E7751F">
            <w:pPr>
              <w:tabs>
                <w:tab w:val="left" w:pos="240"/>
                <w:tab w:val="center" w:pos="4839"/>
              </w:tabs>
              <w:rPr>
                <w:rFonts w:ascii="Arial" w:hAnsi="Arial" w:cs="Arial"/>
              </w:rPr>
            </w:pPr>
            <w:r>
              <w:rPr>
                <w:rFonts w:ascii="Arial" w:hAnsi="Arial" w:cs="Arial"/>
              </w:rPr>
              <w:t xml:space="preserve">In a May 7 decision, </w:t>
            </w:r>
            <w:r w:rsidR="00E7751F">
              <w:rPr>
                <w:rFonts w:ascii="Arial" w:hAnsi="Arial" w:cs="Arial"/>
              </w:rPr>
              <w:t>t</w:t>
            </w:r>
            <w:r w:rsidR="00E7751F" w:rsidRPr="00E7751F">
              <w:rPr>
                <w:rFonts w:ascii="Arial" w:hAnsi="Arial" w:cs="Arial"/>
              </w:rPr>
              <w:t>he</w:t>
            </w:r>
            <w:r w:rsidR="00E7751F">
              <w:rPr>
                <w:rFonts w:ascii="Arial" w:hAnsi="Arial" w:cs="Arial"/>
              </w:rPr>
              <w:t xml:space="preserve"> Kentucky</w:t>
            </w:r>
            <w:r w:rsidR="00E7751F" w:rsidRPr="00E7751F">
              <w:rPr>
                <w:rFonts w:ascii="Arial" w:hAnsi="Arial" w:cs="Arial"/>
              </w:rPr>
              <w:t xml:space="preserve"> </w:t>
            </w:r>
            <w:r w:rsidR="00E7751F">
              <w:rPr>
                <w:rFonts w:ascii="Arial" w:hAnsi="Arial" w:cs="Arial"/>
              </w:rPr>
              <w:t>Public Service Commission</w:t>
            </w:r>
            <w:r w:rsidR="00E7751F" w:rsidRPr="00E7751F">
              <w:rPr>
                <w:rFonts w:ascii="Arial" w:hAnsi="Arial" w:cs="Arial"/>
              </w:rPr>
              <w:t xml:space="preserve"> ordered Atmos to reduce its gas distribution base rates by $0.3 million, premised upon a 9.65% return on equity</w:t>
            </w:r>
            <w:r w:rsidR="00E7751F">
              <w:rPr>
                <w:rFonts w:ascii="Arial" w:hAnsi="Arial" w:cs="Arial"/>
              </w:rPr>
              <w:t xml:space="preserve"> </w:t>
            </w:r>
            <w:r w:rsidR="00E7751F" w:rsidRPr="00E7751F">
              <w:rPr>
                <w:rFonts w:ascii="Arial" w:hAnsi="Arial" w:cs="Arial"/>
              </w:rPr>
              <w:t>(58.06% of capital) and a 7.49%</w:t>
            </w:r>
            <w:r w:rsidR="00E7751F">
              <w:rPr>
                <w:rFonts w:ascii="Arial" w:hAnsi="Arial" w:cs="Arial"/>
              </w:rPr>
              <w:t xml:space="preserve"> r</w:t>
            </w:r>
            <w:r w:rsidR="00E7751F" w:rsidRPr="00E7751F">
              <w:rPr>
                <w:rFonts w:ascii="Arial" w:hAnsi="Arial" w:cs="Arial"/>
              </w:rPr>
              <w:t>eturn on a rate base valued at $424.9 million.</w:t>
            </w:r>
            <w:r w:rsidR="00E7751F">
              <w:rPr>
                <w:rFonts w:ascii="Arial" w:hAnsi="Arial" w:cs="Arial"/>
              </w:rPr>
              <w:t xml:space="preserve"> The approved ROE</w:t>
            </w:r>
            <w:r w:rsidR="00E7751F" w:rsidRPr="00E7751F">
              <w:rPr>
                <w:rFonts w:ascii="Arial" w:hAnsi="Arial" w:cs="Arial"/>
              </w:rPr>
              <w:t xml:space="preserve"> approximates</w:t>
            </w:r>
            <w:r w:rsidR="00E7751F">
              <w:rPr>
                <w:rFonts w:ascii="Arial" w:hAnsi="Arial" w:cs="Arial"/>
              </w:rPr>
              <w:t xml:space="preserve"> </w:t>
            </w:r>
            <w:r w:rsidR="00E7751F" w:rsidRPr="00E7751F">
              <w:rPr>
                <w:rFonts w:ascii="Arial" w:hAnsi="Arial" w:cs="Arial"/>
              </w:rPr>
              <w:t>the 9.55% average ROE authorized gas utilities nationwide in cases during the first quarter of 2019.</w:t>
            </w:r>
            <w:r w:rsidR="00E7751F">
              <w:rPr>
                <w:rFonts w:ascii="Arial" w:hAnsi="Arial" w:cs="Arial"/>
              </w:rPr>
              <w:t xml:space="preserve"> Atmos had requested a </w:t>
            </w:r>
            <w:r w:rsidR="00E7751F" w:rsidRPr="00E7751F">
              <w:rPr>
                <w:rFonts w:ascii="Arial" w:hAnsi="Arial" w:cs="Arial"/>
              </w:rPr>
              <w:t>$14.4 million base rate increase premised upon a</w:t>
            </w:r>
            <w:r w:rsidR="00E7751F">
              <w:rPr>
                <w:rFonts w:ascii="Arial" w:hAnsi="Arial" w:cs="Arial"/>
              </w:rPr>
              <w:t xml:space="preserve"> </w:t>
            </w:r>
            <w:r w:rsidR="00E7751F" w:rsidRPr="00E7751F">
              <w:rPr>
                <w:rFonts w:ascii="Arial" w:hAnsi="Arial" w:cs="Arial"/>
              </w:rPr>
              <w:t>10.4% return on equity (58.06% of capital) and a 7.93% return on a $496 million rate base.</w:t>
            </w:r>
          </w:p>
          <w:p w:rsidR="00E7751F" w:rsidRDefault="00E7751F" w:rsidP="00973AEB">
            <w:pPr>
              <w:tabs>
                <w:tab w:val="left" w:pos="240"/>
                <w:tab w:val="center" w:pos="4839"/>
              </w:tabs>
              <w:rPr>
                <w:rFonts w:ascii="Arial" w:hAnsi="Arial" w:cs="Arial"/>
              </w:rPr>
            </w:pPr>
          </w:p>
          <w:p w:rsidR="00E7751F" w:rsidRPr="00E7751F" w:rsidRDefault="00E7751F" w:rsidP="00E7751F">
            <w:pPr>
              <w:tabs>
                <w:tab w:val="left" w:pos="240"/>
                <w:tab w:val="center" w:pos="4839"/>
              </w:tabs>
              <w:rPr>
                <w:rFonts w:ascii="Arial" w:hAnsi="Arial" w:cs="Arial"/>
              </w:rPr>
            </w:pPr>
            <w:r w:rsidRPr="00E7751F">
              <w:rPr>
                <w:rFonts w:ascii="Arial" w:hAnsi="Arial" w:cs="Arial"/>
              </w:rPr>
              <w:t>The</w:t>
            </w:r>
            <w:r>
              <w:rPr>
                <w:rFonts w:ascii="Arial" w:hAnsi="Arial" w:cs="Arial"/>
              </w:rPr>
              <w:t xml:space="preserve"> </w:t>
            </w:r>
            <w:r w:rsidRPr="00E7751F">
              <w:rPr>
                <w:rFonts w:ascii="Arial" w:hAnsi="Arial" w:cs="Arial"/>
              </w:rPr>
              <w:t>PSC rejected Atmos’ request to terminate its pipeline replacement program,</w:t>
            </w:r>
            <w:r>
              <w:rPr>
                <w:rFonts w:ascii="Arial" w:hAnsi="Arial" w:cs="Arial"/>
              </w:rPr>
              <w:t xml:space="preserve"> </w:t>
            </w:r>
            <w:r w:rsidRPr="00E7751F">
              <w:rPr>
                <w:rFonts w:ascii="Arial" w:hAnsi="Arial" w:cs="Arial"/>
              </w:rPr>
              <w:t>or PRP, rider and reflect all prospective costs associated with its accelerated</w:t>
            </w:r>
            <w:r>
              <w:rPr>
                <w:rFonts w:ascii="Arial" w:hAnsi="Arial" w:cs="Arial"/>
              </w:rPr>
              <w:t xml:space="preserve"> </w:t>
            </w:r>
            <w:r w:rsidRPr="00E7751F">
              <w:rPr>
                <w:rFonts w:ascii="Arial" w:hAnsi="Arial" w:cs="Arial"/>
              </w:rPr>
              <w:t>infrastructure upgrades in annual base rate filings. However, the commission</w:t>
            </w:r>
            <w:r>
              <w:rPr>
                <w:rFonts w:ascii="Arial" w:hAnsi="Arial" w:cs="Arial"/>
              </w:rPr>
              <w:t xml:space="preserve"> </w:t>
            </w:r>
            <w:r w:rsidRPr="00E7751F">
              <w:rPr>
                <w:rFonts w:ascii="Arial" w:hAnsi="Arial" w:cs="Arial"/>
              </w:rPr>
              <w:t>acknowledged certain concerns the company had with the nature of the PRP</w:t>
            </w:r>
            <w:r>
              <w:rPr>
                <w:rFonts w:ascii="Arial" w:hAnsi="Arial" w:cs="Arial"/>
              </w:rPr>
              <w:t xml:space="preserve"> </w:t>
            </w:r>
            <w:r w:rsidRPr="00E7751F">
              <w:rPr>
                <w:rFonts w:ascii="Arial" w:hAnsi="Arial" w:cs="Arial"/>
              </w:rPr>
              <w:t>rider proceedings. In addition, the PSC took issue with the company’s failure</w:t>
            </w:r>
          </w:p>
          <w:p w:rsidR="00E7751F" w:rsidRDefault="00E7751F" w:rsidP="00E7751F">
            <w:pPr>
              <w:tabs>
                <w:tab w:val="left" w:pos="240"/>
                <w:tab w:val="center" w:pos="4839"/>
              </w:tabs>
              <w:rPr>
                <w:rFonts w:ascii="Arial" w:hAnsi="Arial" w:cs="Arial"/>
              </w:rPr>
            </w:pPr>
            <w:r w:rsidRPr="00E7751F">
              <w:rPr>
                <w:rFonts w:ascii="Arial" w:hAnsi="Arial" w:cs="Arial"/>
              </w:rPr>
              <w:t>to request preapproval of certain projects through a process outlined in state</w:t>
            </w:r>
            <w:r>
              <w:rPr>
                <w:rFonts w:ascii="Arial" w:hAnsi="Arial" w:cs="Arial"/>
              </w:rPr>
              <w:t xml:space="preserve"> </w:t>
            </w:r>
            <w:r w:rsidRPr="00E7751F">
              <w:rPr>
                <w:rFonts w:ascii="Arial" w:hAnsi="Arial" w:cs="Arial"/>
              </w:rPr>
              <w:t>law. The commission made it clear that it would view similar actions in the</w:t>
            </w:r>
            <w:r>
              <w:rPr>
                <w:rFonts w:ascii="Arial" w:hAnsi="Arial" w:cs="Arial"/>
              </w:rPr>
              <w:t xml:space="preserve"> </w:t>
            </w:r>
            <w:r w:rsidRPr="00E7751F">
              <w:rPr>
                <w:rFonts w:ascii="Arial" w:hAnsi="Arial" w:cs="Arial"/>
              </w:rPr>
              <w:t>future unfavorably</w:t>
            </w:r>
            <w:r>
              <w:rPr>
                <w:rFonts w:ascii="Arial" w:hAnsi="Arial" w:cs="Arial"/>
              </w:rPr>
              <w:t>.</w:t>
            </w:r>
          </w:p>
          <w:p w:rsidR="00973AEB" w:rsidRPr="00B51D1F" w:rsidRDefault="00973AEB" w:rsidP="00973AEB">
            <w:pPr>
              <w:tabs>
                <w:tab w:val="left" w:pos="240"/>
                <w:tab w:val="center" w:pos="4839"/>
              </w:tabs>
              <w:rPr>
                <w:rFonts w:ascii="Arial" w:hAnsi="Arial" w:cs="Arial"/>
              </w:rPr>
            </w:pPr>
          </w:p>
        </w:tc>
      </w:tr>
      <w:tr w:rsidR="00125AE9" w:rsidRPr="00B51D1F" w:rsidTr="00584CF9">
        <w:trPr>
          <w:trHeight w:val="279"/>
        </w:trPr>
        <w:tc>
          <w:tcPr>
            <w:tcW w:w="9895" w:type="dxa"/>
            <w:gridSpan w:val="2"/>
            <w:shd w:val="clear" w:color="auto" w:fill="1F4E79" w:themeFill="accent1" w:themeFillShade="80"/>
          </w:tcPr>
          <w:p w:rsidR="00125AE9" w:rsidRPr="000602A6" w:rsidRDefault="0018711C" w:rsidP="00125AE9">
            <w:pPr>
              <w:jc w:val="center"/>
              <w:rPr>
                <w:rFonts w:ascii="Arial" w:hAnsi="Arial" w:cs="Arial"/>
                <w:b/>
                <w:color w:val="FFFFFF" w:themeColor="background1"/>
              </w:rPr>
            </w:pPr>
            <w:r>
              <w:rPr>
                <w:rFonts w:ascii="Arial" w:hAnsi="Arial" w:cs="Arial"/>
                <w:b/>
                <w:color w:val="FFFFFF" w:themeColor="background1"/>
              </w:rPr>
              <w:t>June</w:t>
            </w:r>
            <w:r w:rsidR="00DF50CF">
              <w:rPr>
                <w:rFonts w:ascii="Arial" w:hAnsi="Arial" w:cs="Arial"/>
                <w:b/>
                <w:color w:val="FFFFFF" w:themeColor="background1"/>
              </w:rPr>
              <w:t xml:space="preserve"> </w:t>
            </w:r>
            <w:r>
              <w:rPr>
                <w:rFonts w:ascii="Arial" w:hAnsi="Arial" w:cs="Arial"/>
                <w:b/>
                <w:color w:val="FFFFFF" w:themeColor="background1"/>
              </w:rPr>
              <w:t>12</w:t>
            </w:r>
            <w:r w:rsidR="00DF50CF">
              <w:rPr>
                <w:rFonts w:ascii="Arial" w:hAnsi="Arial" w:cs="Arial"/>
                <w:b/>
                <w:color w:val="FFFFFF" w:themeColor="background1"/>
              </w:rPr>
              <w:t>, 2019</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0602A6" w:rsidRDefault="0018711C" w:rsidP="00125AE9">
            <w:pPr>
              <w:rPr>
                <w:rFonts w:ascii="Arial" w:hAnsi="Arial" w:cs="Arial"/>
              </w:rPr>
            </w:pPr>
            <w:r>
              <w:rPr>
                <w:rFonts w:ascii="Arial" w:hAnsi="Arial" w:cs="Arial"/>
              </w:rPr>
              <w:t>Columbia Gas of Virginia Inc.</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0602A6" w:rsidRDefault="0018711C" w:rsidP="00125AE9">
            <w:pPr>
              <w:rPr>
                <w:rFonts w:ascii="Arial" w:hAnsi="Arial" w:cs="Arial"/>
              </w:rPr>
            </w:pPr>
            <w:r>
              <w:rPr>
                <w:rFonts w:ascii="Arial" w:hAnsi="Arial" w:cs="Arial"/>
              </w:rPr>
              <w:t>Virginia</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8A2167" w:rsidRDefault="00D63DE7" w:rsidP="00125AE9">
            <w:pPr>
              <w:rPr>
                <w:rFonts w:ascii="Arial" w:hAnsi="Arial" w:cs="Arial"/>
              </w:rPr>
            </w:pPr>
            <w:hyperlink r:id="rId13" w:anchor="/caseDetails/138948" w:history="1">
              <w:r w:rsidRPr="00D63DE7">
                <w:rPr>
                  <w:rStyle w:val="Hyperlink"/>
                  <w:rFonts w:ascii="Arial" w:hAnsi="Arial" w:cs="Arial"/>
                  <w:b/>
                  <w:bCs/>
                </w:rPr>
                <w:t>2018-0</w:t>
              </w:r>
              <w:r w:rsidRPr="00D63DE7">
                <w:rPr>
                  <w:rStyle w:val="Hyperlink"/>
                  <w:rFonts w:ascii="Arial" w:hAnsi="Arial" w:cs="Arial"/>
                  <w:b/>
                  <w:bCs/>
                </w:rPr>
                <w:t>0131</w:t>
              </w:r>
            </w:hyperlink>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880796" w:rsidP="00125AE9">
            <w:pPr>
              <w:rPr>
                <w:rFonts w:ascii="Arial" w:hAnsi="Arial" w:cs="Arial"/>
              </w:rPr>
            </w:pPr>
            <w:r>
              <w:rPr>
                <w:rFonts w:ascii="Arial" w:hAnsi="Arial" w:cs="Arial"/>
              </w:rPr>
              <w:t>$9.5 million</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125AE9" w:rsidRPr="00861F4B" w:rsidRDefault="00D63DE7" w:rsidP="00125AE9">
            <w:pPr>
              <w:rPr>
                <w:rFonts w:ascii="Arial" w:hAnsi="Arial" w:cs="Arial"/>
              </w:rPr>
            </w:pPr>
            <w:r>
              <w:rPr>
                <w:rFonts w:ascii="Arial" w:hAnsi="Arial" w:cs="Arial"/>
              </w:rPr>
              <w:t>Virginia Industrial Gas Users Association</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0E667C">
        <w:trPr>
          <w:trHeight w:val="263"/>
        </w:trPr>
        <w:tc>
          <w:tcPr>
            <w:tcW w:w="9895" w:type="dxa"/>
            <w:gridSpan w:val="2"/>
            <w:shd w:val="clear" w:color="auto" w:fill="auto"/>
          </w:tcPr>
          <w:p w:rsidR="00D63DE7" w:rsidRDefault="00D63DE7" w:rsidP="00D63DE7">
            <w:pPr>
              <w:tabs>
                <w:tab w:val="left" w:pos="240"/>
                <w:tab w:val="center" w:pos="4839"/>
              </w:tabs>
              <w:rPr>
                <w:rFonts w:ascii="Arial" w:hAnsi="Arial" w:cs="Arial"/>
              </w:rPr>
            </w:pPr>
            <w:r>
              <w:rPr>
                <w:rFonts w:ascii="Arial" w:hAnsi="Arial" w:cs="Arial"/>
              </w:rPr>
              <w:t>On June 12 t</w:t>
            </w:r>
            <w:r w:rsidRPr="00D63DE7">
              <w:rPr>
                <w:rFonts w:ascii="Arial" w:hAnsi="Arial" w:cs="Arial"/>
              </w:rPr>
              <w:t>he Virginia State Corporation Commission accepted an administrative law judge's recommendation, thereby approving a settlement in Columbia Gas of Virginia Inc.'s gas distribution base rate case proceeding.</w:t>
            </w:r>
          </w:p>
          <w:p w:rsidR="00D63DE7" w:rsidRPr="00D63DE7" w:rsidRDefault="00D63DE7" w:rsidP="00D63DE7">
            <w:pPr>
              <w:tabs>
                <w:tab w:val="left" w:pos="240"/>
                <w:tab w:val="center" w:pos="4839"/>
              </w:tabs>
              <w:rPr>
                <w:rFonts w:ascii="Arial" w:hAnsi="Arial" w:cs="Arial"/>
              </w:rPr>
            </w:pPr>
          </w:p>
          <w:p w:rsidR="00D63DE7" w:rsidRPr="00D63DE7" w:rsidRDefault="00D63DE7" w:rsidP="00D63DE7">
            <w:pPr>
              <w:tabs>
                <w:tab w:val="left" w:pos="240"/>
                <w:tab w:val="center" w:pos="4839"/>
              </w:tabs>
              <w:rPr>
                <w:rFonts w:ascii="Arial" w:hAnsi="Arial" w:cs="Arial"/>
              </w:rPr>
            </w:pPr>
            <w:r w:rsidRPr="00D63DE7">
              <w:rPr>
                <w:rFonts w:ascii="Arial" w:hAnsi="Arial" w:cs="Arial"/>
              </w:rPr>
              <w:t>The now approved-settlement calls for a $9.5 million distribution base rate increase that includes the transfer to base rates of $8.2 million being collected through the company's Steps to Advance Virginia Energy, or SAVE, rider. Ratepayers will see a net overall increase of $1.3 million.</w:t>
            </w:r>
            <w:r>
              <w:rPr>
                <w:rFonts w:ascii="Arial" w:hAnsi="Arial" w:cs="Arial"/>
              </w:rPr>
              <w:t xml:space="preserve"> The </w:t>
            </w:r>
            <w:r w:rsidRPr="00D63DE7">
              <w:rPr>
                <w:rFonts w:ascii="Arial" w:hAnsi="Arial" w:cs="Arial"/>
              </w:rPr>
              <w:t xml:space="preserve">final order </w:t>
            </w:r>
            <w:r>
              <w:rPr>
                <w:rFonts w:ascii="Arial" w:hAnsi="Arial" w:cs="Arial"/>
              </w:rPr>
              <w:t xml:space="preserve">also </w:t>
            </w:r>
            <w:r w:rsidRPr="00D63DE7">
              <w:rPr>
                <w:rFonts w:ascii="Arial" w:hAnsi="Arial" w:cs="Arial"/>
              </w:rPr>
              <w:t>states that CGV is to return to ratepayers roughly $13.3 million in regulatory liabilities to reflect the over-collection of income taxes associated with federal tax changes enacted in 2017 that reduced the corporate federal income tax rate to 21% from 35%.</w:t>
            </w:r>
          </w:p>
          <w:p w:rsidR="00125AE9" w:rsidRDefault="00125AE9" w:rsidP="00973AEB">
            <w:pPr>
              <w:tabs>
                <w:tab w:val="left" w:pos="240"/>
                <w:tab w:val="center" w:pos="4839"/>
              </w:tabs>
              <w:rPr>
                <w:rFonts w:ascii="Arial" w:hAnsi="Arial" w:cs="Arial"/>
              </w:rPr>
            </w:pPr>
          </w:p>
          <w:p w:rsidR="00D63DE7" w:rsidRDefault="00D63DE7" w:rsidP="00D63DE7">
            <w:pPr>
              <w:tabs>
                <w:tab w:val="left" w:pos="240"/>
                <w:tab w:val="center" w:pos="4839"/>
              </w:tabs>
              <w:rPr>
                <w:rFonts w:ascii="Arial" w:hAnsi="Arial" w:cs="Arial"/>
              </w:rPr>
            </w:pPr>
            <w:r w:rsidRPr="00D63DE7">
              <w:rPr>
                <w:rFonts w:ascii="Arial" w:hAnsi="Arial" w:cs="Arial"/>
              </w:rPr>
              <w:t>The settlement, which was filed on April 19, is silent with respect to the equity return and other traditional rate case parameters underlying the stipulated rate increase but specifies that a 9.7% ROE</w:t>
            </w:r>
            <w:r>
              <w:rPr>
                <w:rFonts w:ascii="Arial" w:hAnsi="Arial" w:cs="Arial"/>
              </w:rPr>
              <w:t xml:space="preserve"> </w:t>
            </w:r>
            <w:r w:rsidRPr="00D63DE7">
              <w:rPr>
                <w:rFonts w:ascii="Arial" w:hAnsi="Arial" w:cs="Arial"/>
              </w:rPr>
              <w:t>would be used for calculating the revenue requirement in any application or filing other than an application for a change in base rates and an annual earnings test analyses beginning with calendar year 2019.</w:t>
            </w:r>
            <w:r>
              <w:rPr>
                <w:rFonts w:ascii="Arial" w:hAnsi="Arial" w:cs="Arial"/>
              </w:rPr>
              <w:t xml:space="preserve"> </w:t>
            </w:r>
            <w:r w:rsidRPr="00D63DE7">
              <w:rPr>
                <w:rFonts w:ascii="Arial" w:hAnsi="Arial" w:cs="Arial"/>
              </w:rPr>
              <w:t>However, CGV would be permitted to continue to calculate the proposed revenue requirement in expedited rate cases based on a 9.75% ROE.</w:t>
            </w:r>
          </w:p>
          <w:p w:rsidR="00D63DE7" w:rsidRDefault="00D63DE7" w:rsidP="00D63DE7">
            <w:pPr>
              <w:tabs>
                <w:tab w:val="left" w:pos="240"/>
                <w:tab w:val="center" w:pos="4839"/>
              </w:tabs>
              <w:rPr>
                <w:rFonts w:ascii="Arial" w:hAnsi="Arial" w:cs="Arial"/>
              </w:rPr>
            </w:pPr>
          </w:p>
          <w:p w:rsidR="00D63DE7" w:rsidRPr="00D63DE7" w:rsidRDefault="00D63DE7" w:rsidP="00D63DE7">
            <w:pPr>
              <w:tabs>
                <w:tab w:val="left" w:pos="240"/>
                <w:tab w:val="center" w:pos="4839"/>
              </w:tabs>
              <w:rPr>
                <w:rFonts w:ascii="Arial" w:hAnsi="Arial" w:cs="Arial"/>
              </w:rPr>
            </w:pPr>
            <w:r w:rsidRPr="00D63DE7">
              <w:rPr>
                <w:rFonts w:ascii="Arial" w:hAnsi="Arial" w:cs="Arial"/>
              </w:rPr>
              <w:t>The base rate increase would be allocated such that the residential classes experience an average of 4.72% and small commercial customers see a 4.78% distribution bill increase versus the overall system average of 3.95%. The monthly customer charge for residential customers would rise to $16 per month from $15 per month.</w:t>
            </w:r>
            <w:r>
              <w:rPr>
                <w:rFonts w:ascii="Arial" w:hAnsi="Arial" w:cs="Arial"/>
              </w:rPr>
              <w:t xml:space="preserve"> </w:t>
            </w:r>
            <w:r w:rsidRPr="00D63DE7">
              <w:rPr>
                <w:rFonts w:ascii="Arial" w:hAnsi="Arial" w:cs="Arial"/>
              </w:rPr>
              <w:t>Since the stipulated increase is lower than that implemented on an interim basis, refunds would be required.</w:t>
            </w:r>
          </w:p>
          <w:p w:rsidR="00973AEB" w:rsidRPr="004A577F" w:rsidRDefault="00973AEB" w:rsidP="00973AEB">
            <w:pPr>
              <w:tabs>
                <w:tab w:val="left" w:pos="240"/>
                <w:tab w:val="center" w:pos="4839"/>
              </w:tabs>
              <w:rPr>
                <w:rFonts w:ascii="Arial" w:hAnsi="Arial" w:cs="Arial"/>
              </w:rPr>
            </w:pPr>
          </w:p>
        </w:tc>
      </w:tr>
    </w:tbl>
    <w:p w:rsidR="00880796" w:rsidRDefault="00880796" w:rsidP="009965F4">
      <w:pPr>
        <w:rPr>
          <w:rFonts w:ascii="Arial" w:hAnsi="Arial" w:cs="Arial"/>
          <w:i/>
          <w:iCs/>
          <w:color w:val="000000"/>
          <w:sz w:val="18"/>
          <w:szCs w:val="18"/>
        </w:rPr>
      </w:pPr>
    </w:p>
    <w:p w:rsidR="00DB1A39" w:rsidRPr="00B51D1F" w:rsidRDefault="00DB1A39" w:rsidP="009965F4">
      <w:pPr>
        <w:rPr>
          <w:rFonts w:ascii="Arial" w:hAnsi="Arial" w:cs="Arial"/>
        </w:rPr>
      </w:pPr>
      <w:r w:rsidRPr="00B51D1F">
        <w:rPr>
          <w:rFonts w:ascii="Arial" w:hAnsi="Arial" w:cs="Arial"/>
          <w:i/>
          <w:iCs/>
          <w:color w:val="000000"/>
          <w:sz w:val="18"/>
          <w:szCs w:val="18"/>
        </w:rPr>
        <w:t>This document has been prepared by the American Gas Association for members. In issuing and making this publication available, AGA is not undertaking to render professional or other services for or on behalf of any person or entity. Nor is AGA undertaking to perform any duty owed by any person or entity to someone else. The statements in this publication are for general information only and it does not provide a legal opinion or legal advice for any purpose. Information on the topics covered by this publication may be available from other sources, which the user may wish to consult for additional views or information not covered by this publication. © Copyright 201</w:t>
      </w:r>
      <w:r w:rsidR="00963890">
        <w:rPr>
          <w:rFonts w:ascii="Arial" w:hAnsi="Arial" w:cs="Arial"/>
          <w:i/>
          <w:iCs/>
          <w:color w:val="000000"/>
          <w:sz w:val="18"/>
          <w:szCs w:val="18"/>
        </w:rPr>
        <w:t>9</w:t>
      </w:r>
      <w:r w:rsidR="00CC364C" w:rsidRPr="00B51D1F">
        <w:rPr>
          <w:rFonts w:ascii="Arial" w:hAnsi="Arial" w:cs="Arial"/>
          <w:i/>
          <w:iCs/>
          <w:color w:val="000000"/>
          <w:sz w:val="18"/>
          <w:szCs w:val="18"/>
        </w:rPr>
        <w:t xml:space="preserve"> </w:t>
      </w:r>
      <w:r w:rsidRPr="00B51D1F">
        <w:rPr>
          <w:rFonts w:ascii="Arial" w:hAnsi="Arial" w:cs="Arial"/>
          <w:i/>
          <w:iCs/>
          <w:color w:val="000000"/>
          <w:sz w:val="18"/>
          <w:szCs w:val="18"/>
        </w:rPr>
        <w:t xml:space="preserve">American Gas Association. All Rights Reserved. </w:t>
      </w:r>
      <w:hyperlink r:id="rId14" w:history="1">
        <w:r w:rsidRPr="00B51D1F">
          <w:rPr>
            <w:rStyle w:val="Hyperlink"/>
            <w:rFonts w:ascii="Arial" w:hAnsi="Arial" w:cs="Arial"/>
            <w:i/>
            <w:iCs/>
            <w:sz w:val="18"/>
            <w:szCs w:val="18"/>
          </w:rPr>
          <w:t>www.aga.org</w:t>
        </w:r>
      </w:hyperlink>
    </w:p>
    <w:sectPr w:rsidR="00DB1A39" w:rsidRPr="00B51D1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4D" w:rsidRDefault="004E5D4D" w:rsidP="00DE7014">
      <w:pPr>
        <w:spacing w:after="0" w:line="240" w:lineRule="auto"/>
      </w:pPr>
      <w:r>
        <w:separator/>
      </w:r>
    </w:p>
  </w:endnote>
  <w:endnote w:type="continuationSeparator" w:id="0">
    <w:p w:rsidR="004E5D4D" w:rsidRDefault="004E5D4D" w:rsidP="00DE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7707"/>
      <w:docPartObj>
        <w:docPartGallery w:val="Page Numbers (Bottom of Page)"/>
        <w:docPartUnique/>
      </w:docPartObj>
    </w:sdtPr>
    <w:sdtEndPr>
      <w:rPr>
        <w:noProof/>
      </w:rPr>
    </w:sdtEndPr>
    <w:sdtContent>
      <w:p w:rsidR="00584CF9" w:rsidRDefault="00584CF9">
        <w:pPr>
          <w:pStyle w:val="Footer"/>
          <w:jc w:val="right"/>
        </w:pPr>
        <w:r>
          <w:fldChar w:fldCharType="begin"/>
        </w:r>
        <w:r>
          <w:instrText xml:space="preserve"> PAGE   \* MERGEFORMAT </w:instrText>
        </w:r>
        <w:r>
          <w:fldChar w:fldCharType="separate"/>
        </w:r>
        <w:r w:rsidR="00BD7495">
          <w:rPr>
            <w:noProof/>
          </w:rPr>
          <w:t>10</w:t>
        </w:r>
        <w:r>
          <w:rPr>
            <w:noProof/>
          </w:rPr>
          <w:fldChar w:fldCharType="end"/>
        </w:r>
      </w:p>
    </w:sdtContent>
  </w:sdt>
  <w:p w:rsidR="00584CF9" w:rsidRDefault="0058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4D" w:rsidRDefault="004E5D4D" w:rsidP="00DE7014">
      <w:pPr>
        <w:spacing w:after="0" w:line="240" w:lineRule="auto"/>
      </w:pPr>
      <w:r>
        <w:separator/>
      </w:r>
    </w:p>
  </w:footnote>
  <w:footnote w:type="continuationSeparator" w:id="0">
    <w:p w:rsidR="004E5D4D" w:rsidRDefault="004E5D4D" w:rsidP="00DE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F9" w:rsidRDefault="00584CF9">
    <w:pPr>
      <w:pStyle w:val="Header"/>
    </w:pPr>
    <w:r>
      <w:rPr>
        <w:noProof/>
      </w:rPr>
      <mc:AlternateContent>
        <mc:Choice Requires="wps">
          <w:drawing>
            <wp:anchor distT="0" distB="0" distL="114300" distR="114300" simplePos="0" relativeHeight="251661312" behindDoc="0" locked="0" layoutInCell="1" allowOverlap="1" wp14:anchorId="5CAE5A8C" wp14:editId="383095F6">
              <wp:simplePos x="0" y="0"/>
              <wp:positionH relativeFrom="column">
                <wp:posOffset>-533400</wp:posOffset>
              </wp:positionH>
              <wp:positionV relativeFrom="paragraph">
                <wp:posOffset>0</wp:posOffset>
              </wp:positionV>
              <wp:extent cx="6858000" cy="866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866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584CF9" w:rsidRPr="006C3E85" w:rsidRDefault="00764247" w:rsidP="006C3E85">
                          <w:pPr>
                            <w:rPr>
                              <w:rFonts w:ascii="Arial" w:hAnsi="Arial"/>
                              <w:b/>
                              <w:color w:val="FFFFFF" w:themeColor="background1"/>
                              <w:sz w:val="20"/>
                              <w:szCs w:val="20"/>
                            </w:rPr>
                          </w:pPr>
                          <w:r>
                            <w:rPr>
                              <w:rFonts w:ascii="Arial" w:hAnsi="Arial"/>
                              <w:b/>
                              <w:color w:val="FFFFFF" w:themeColor="background1"/>
                              <w:sz w:val="20"/>
                              <w:szCs w:val="20"/>
                            </w:rPr>
                            <w:t>April</w:t>
                          </w:r>
                          <w:r w:rsidR="0063501E">
                            <w:rPr>
                              <w:rFonts w:ascii="Arial" w:hAnsi="Arial"/>
                              <w:b/>
                              <w:color w:val="FFFFFF" w:themeColor="background1"/>
                              <w:sz w:val="20"/>
                              <w:szCs w:val="20"/>
                            </w:rPr>
                            <w:t xml:space="preserve"> 1 through </w:t>
                          </w:r>
                          <w:r>
                            <w:rPr>
                              <w:rFonts w:ascii="Arial" w:hAnsi="Arial"/>
                              <w:b/>
                              <w:color w:val="FFFFFF" w:themeColor="background1"/>
                              <w:sz w:val="20"/>
                              <w:szCs w:val="20"/>
                            </w:rPr>
                            <w:t>June</w:t>
                          </w:r>
                          <w:r w:rsidR="0063501E">
                            <w:rPr>
                              <w:rFonts w:ascii="Arial" w:hAnsi="Arial"/>
                              <w:b/>
                              <w:color w:val="FFFFFF" w:themeColor="background1"/>
                              <w:sz w:val="20"/>
                              <w:szCs w:val="20"/>
                            </w:rPr>
                            <w:t xml:space="preserve"> 3</w:t>
                          </w:r>
                          <w:r>
                            <w:rPr>
                              <w:rFonts w:ascii="Arial" w:hAnsi="Arial"/>
                              <w:b/>
                              <w:color w:val="FFFFFF" w:themeColor="background1"/>
                              <w:sz w:val="20"/>
                              <w:szCs w:val="20"/>
                            </w:rPr>
                            <w:t>0</w:t>
                          </w:r>
                          <w:r w:rsidR="0063501E">
                            <w:rPr>
                              <w:rFonts w:ascii="Arial" w:hAnsi="Arial"/>
                              <w:b/>
                              <w:color w:val="FFFFFF" w:themeColor="background1"/>
                              <w:sz w:val="20"/>
                              <w:szCs w:val="20"/>
                            </w:rPr>
                            <w:t>, 201</w:t>
                          </w:r>
                          <w:r w:rsidR="00CD3F3C">
                            <w:rPr>
                              <w:rFonts w:ascii="Arial" w:hAnsi="Arial"/>
                              <w:b/>
                              <w:color w:val="FFFFFF" w:themeColor="background1"/>
                              <w:sz w:val="20"/>
                              <w:szCs w:val="20"/>
                            </w:rPr>
                            <w:t>9</w:t>
                          </w:r>
                        </w:p>
                        <w:p w:rsidR="00584CF9" w:rsidRPr="004D11A5" w:rsidRDefault="00584CF9" w:rsidP="006C3E85">
                          <w:pPr>
                            <w:rPr>
                              <w:rFonts w:ascii="Arial" w:hAnsi="Arial"/>
                              <w:b/>
                              <w:color w:val="A7D036"/>
                              <w:sz w:val="56"/>
                              <w:szCs w:val="56"/>
                            </w:rPr>
                          </w:pPr>
                          <w:r>
                            <w:rPr>
                              <w:rFonts w:ascii="Arial" w:hAnsi="Arial"/>
                              <w:b/>
                              <w:color w:val="A7D036"/>
                              <w:sz w:val="56"/>
                              <w:szCs w:val="56"/>
                            </w:rPr>
                            <w:t>Rate &amp; Regulatory Update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5A8C" id="_x0000_t202" coordsize="21600,21600" o:spt="202" path="m,l,21600r21600,l21600,xe">
              <v:stroke joinstyle="miter"/>
              <v:path gradientshapeok="t" o:connecttype="rect"/>
            </v:shapetype>
            <v:shape id="Text Box 5" o:spid="_x0000_s1026" type="#_x0000_t202" style="position:absolute;margin-left:-42pt;margin-top:0;width:54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" filled="f" stroked="f">
              <v:textbox>
                <w:txbxContent>
                  <w:p w:rsidR="00584CF9" w:rsidRPr="006C3E85" w:rsidRDefault="00764247" w:rsidP="006C3E85">
                    <w:pPr>
                      <w:rPr>
                        <w:rFonts w:ascii="Arial" w:hAnsi="Arial"/>
                        <w:b/>
                        <w:color w:val="FFFFFF" w:themeColor="background1"/>
                        <w:sz w:val="20"/>
                        <w:szCs w:val="20"/>
                      </w:rPr>
                    </w:pPr>
                    <w:r>
                      <w:rPr>
                        <w:rFonts w:ascii="Arial" w:hAnsi="Arial"/>
                        <w:b/>
                        <w:color w:val="FFFFFF" w:themeColor="background1"/>
                        <w:sz w:val="20"/>
                        <w:szCs w:val="20"/>
                      </w:rPr>
                      <w:t>April</w:t>
                    </w:r>
                    <w:r w:rsidR="0063501E">
                      <w:rPr>
                        <w:rFonts w:ascii="Arial" w:hAnsi="Arial"/>
                        <w:b/>
                        <w:color w:val="FFFFFF" w:themeColor="background1"/>
                        <w:sz w:val="20"/>
                        <w:szCs w:val="20"/>
                      </w:rPr>
                      <w:t xml:space="preserve"> 1 through </w:t>
                    </w:r>
                    <w:r>
                      <w:rPr>
                        <w:rFonts w:ascii="Arial" w:hAnsi="Arial"/>
                        <w:b/>
                        <w:color w:val="FFFFFF" w:themeColor="background1"/>
                        <w:sz w:val="20"/>
                        <w:szCs w:val="20"/>
                      </w:rPr>
                      <w:t>June</w:t>
                    </w:r>
                    <w:r w:rsidR="0063501E">
                      <w:rPr>
                        <w:rFonts w:ascii="Arial" w:hAnsi="Arial"/>
                        <w:b/>
                        <w:color w:val="FFFFFF" w:themeColor="background1"/>
                        <w:sz w:val="20"/>
                        <w:szCs w:val="20"/>
                      </w:rPr>
                      <w:t xml:space="preserve"> 3</w:t>
                    </w:r>
                    <w:r>
                      <w:rPr>
                        <w:rFonts w:ascii="Arial" w:hAnsi="Arial"/>
                        <w:b/>
                        <w:color w:val="FFFFFF" w:themeColor="background1"/>
                        <w:sz w:val="20"/>
                        <w:szCs w:val="20"/>
                      </w:rPr>
                      <w:t>0</w:t>
                    </w:r>
                    <w:r w:rsidR="0063501E">
                      <w:rPr>
                        <w:rFonts w:ascii="Arial" w:hAnsi="Arial"/>
                        <w:b/>
                        <w:color w:val="FFFFFF" w:themeColor="background1"/>
                        <w:sz w:val="20"/>
                        <w:szCs w:val="20"/>
                      </w:rPr>
                      <w:t>, 201</w:t>
                    </w:r>
                    <w:r w:rsidR="00CD3F3C">
                      <w:rPr>
                        <w:rFonts w:ascii="Arial" w:hAnsi="Arial"/>
                        <w:b/>
                        <w:color w:val="FFFFFF" w:themeColor="background1"/>
                        <w:sz w:val="20"/>
                        <w:szCs w:val="20"/>
                      </w:rPr>
                      <w:t>9</w:t>
                    </w:r>
                  </w:p>
                  <w:p w:rsidR="00584CF9" w:rsidRPr="004D11A5" w:rsidRDefault="00584CF9" w:rsidP="006C3E85">
                    <w:pPr>
                      <w:rPr>
                        <w:rFonts w:ascii="Arial" w:hAnsi="Arial"/>
                        <w:b/>
                        <w:color w:val="A7D036"/>
                        <w:sz w:val="56"/>
                        <w:szCs w:val="56"/>
                      </w:rPr>
                    </w:pPr>
                    <w:r>
                      <w:rPr>
                        <w:rFonts w:ascii="Arial" w:hAnsi="Arial"/>
                        <w:b/>
                        <w:color w:val="A7D036"/>
                        <w:sz w:val="56"/>
                        <w:szCs w:val="56"/>
                      </w:rPr>
                      <w:t>Rate &amp; Regulatory Update</w:t>
                    </w:r>
                  </w:p>
                </w:txbxContent>
              </v:textbox>
            </v:shape>
          </w:pict>
        </mc:Fallback>
      </mc:AlternateContent>
    </w:r>
    <w:r w:rsidRPr="00DE7014">
      <w:rPr>
        <w:rFonts w:ascii="Calibri" w:eastAsia="Times New Roman" w:hAnsi="Calibri" w:cs="Times New Roman" w:hint="eastAsia"/>
        <w:noProof/>
        <w:szCs w:val="24"/>
      </w:rPr>
      <w:drawing>
        <wp:anchor distT="0" distB="0" distL="114300" distR="114300" simplePos="0" relativeHeight="251659264" behindDoc="0" locked="0" layoutInCell="1" allowOverlap="1" wp14:anchorId="7A8D632F" wp14:editId="3ADE613E">
          <wp:simplePos x="0" y="0"/>
          <wp:positionH relativeFrom="page">
            <wp:align>right</wp:align>
          </wp:positionH>
          <wp:positionV relativeFrom="page">
            <wp:align>top</wp:align>
          </wp:positionV>
          <wp:extent cx="7771130" cy="15367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8D"/>
    <w:multiLevelType w:val="hybridMultilevel"/>
    <w:tmpl w:val="3C5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6AA0"/>
    <w:multiLevelType w:val="hybridMultilevel"/>
    <w:tmpl w:val="708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13F"/>
    <w:multiLevelType w:val="hybridMultilevel"/>
    <w:tmpl w:val="36C0E3A6"/>
    <w:lvl w:ilvl="0" w:tplc="5470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FA7"/>
    <w:multiLevelType w:val="hybridMultilevel"/>
    <w:tmpl w:val="64BC2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95A1A"/>
    <w:multiLevelType w:val="hybridMultilevel"/>
    <w:tmpl w:val="EC30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A33D1"/>
    <w:multiLevelType w:val="hybridMultilevel"/>
    <w:tmpl w:val="A696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61198"/>
    <w:multiLevelType w:val="hybridMultilevel"/>
    <w:tmpl w:val="5A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384B"/>
    <w:multiLevelType w:val="hybridMultilevel"/>
    <w:tmpl w:val="E0E8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57C6"/>
    <w:multiLevelType w:val="hybridMultilevel"/>
    <w:tmpl w:val="6BB6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31F86"/>
    <w:multiLevelType w:val="hybridMultilevel"/>
    <w:tmpl w:val="AF68B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C6FBB"/>
    <w:multiLevelType w:val="hybridMultilevel"/>
    <w:tmpl w:val="2EA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1B61"/>
    <w:multiLevelType w:val="hybridMultilevel"/>
    <w:tmpl w:val="0DC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3588"/>
    <w:multiLevelType w:val="hybridMultilevel"/>
    <w:tmpl w:val="CE1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C2F47"/>
    <w:multiLevelType w:val="hybridMultilevel"/>
    <w:tmpl w:val="F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844DD"/>
    <w:multiLevelType w:val="hybridMultilevel"/>
    <w:tmpl w:val="0B9E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40724"/>
    <w:multiLevelType w:val="hybridMultilevel"/>
    <w:tmpl w:val="38D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A6254"/>
    <w:multiLevelType w:val="hybridMultilevel"/>
    <w:tmpl w:val="F29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B66DF"/>
    <w:multiLevelType w:val="hybridMultilevel"/>
    <w:tmpl w:val="5188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D73B5"/>
    <w:multiLevelType w:val="hybridMultilevel"/>
    <w:tmpl w:val="849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073F7"/>
    <w:multiLevelType w:val="hybridMultilevel"/>
    <w:tmpl w:val="40E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8"/>
  </w:num>
  <w:num w:numId="5">
    <w:abstractNumId w:val="15"/>
  </w:num>
  <w:num w:numId="6">
    <w:abstractNumId w:val="4"/>
  </w:num>
  <w:num w:numId="7">
    <w:abstractNumId w:val="14"/>
  </w:num>
  <w:num w:numId="8">
    <w:abstractNumId w:val="0"/>
  </w:num>
  <w:num w:numId="9">
    <w:abstractNumId w:val="9"/>
  </w:num>
  <w:num w:numId="10">
    <w:abstractNumId w:val="17"/>
  </w:num>
  <w:num w:numId="11">
    <w:abstractNumId w:val="6"/>
  </w:num>
  <w:num w:numId="12">
    <w:abstractNumId w:val="19"/>
  </w:num>
  <w:num w:numId="13">
    <w:abstractNumId w:val="2"/>
  </w:num>
  <w:num w:numId="14">
    <w:abstractNumId w:val="10"/>
  </w:num>
  <w:num w:numId="15">
    <w:abstractNumId w:val="13"/>
  </w:num>
  <w:num w:numId="16">
    <w:abstractNumId w:val="16"/>
  </w:num>
  <w:num w:numId="17">
    <w:abstractNumId w:val="1"/>
  </w:num>
  <w:num w:numId="18">
    <w:abstractNumId w:val="11"/>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26"/>
    <w:rsid w:val="0000016B"/>
    <w:rsid w:val="0000069D"/>
    <w:rsid w:val="00000717"/>
    <w:rsid w:val="00003004"/>
    <w:rsid w:val="000042AD"/>
    <w:rsid w:val="00005816"/>
    <w:rsid w:val="000064CB"/>
    <w:rsid w:val="00007856"/>
    <w:rsid w:val="00012F7E"/>
    <w:rsid w:val="00015130"/>
    <w:rsid w:val="0001526D"/>
    <w:rsid w:val="00015860"/>
    <w:rsid w:val="00015C47"/>
    <w:rsid w:val="00016F42"/>
    <w:rsid w:val="000171AA"/>
    <w:rsid w:val="00017ABD"/>
    <w:rsid w:val="00017AEE"/>
    <w:rsid w:val="00017DBA"/>
    <w:rsid w:val="0002025B"/>
    <w:rsid w:val="00021C00"/>
    <w:rsid w:val="000229CD"/>
    <w:rsid w:val="0002613F"/>
    <w:rsid w:val="00026D35"/>
    <w:rsid w:val="00026DF4"/>
    <w:rsid w:val="00026F05"/>
    <w:rsid w:val="00026FE2"/>
    <w:rsid w:val="00031445"/>
    <w:rsid w:val="00031A98"/>
    <w:rsid w:val="00032FB5"/>
    <w:rsid w:val="00033B34"/>
    <w:rsid w:val="00033C66"/>
    <w:rsid w:val="00034F1B"/>
    <w:rsid w:val="000356D2"/>
    <w:rsid w:val="000377CE"/>
    <w:rsid w:val="00041FBC"/>
    <w:rsid w:val="0004230B"/>
    <w:rsid w:val="00044561"/>
    <w:rsid w:val="00044D74"/>
    <w:rsid w:val="0004674C"/>
    <w:rsid w:val="00050DF9"/>
    <w:rsid w:val="0005176A"/>
    <w:rsid w:val="0005197B"/>
    <w:rsid w:val="00055B13"/>
    <w:rsid w:val="000602A6"/>
    <w:rsid w:val="00063A04"/>
    <w:rsid w:val="00066A25"/>
    <w:rsid w:val="00066CAD"/>
    <w:rsid w:val="000674C4"/>
    <w:rsid w:val="000675B9"/>
    <w:rsid w:val="00067D07"/>
    <w:rsid w:val="0007184F"/>
    <w:rsid w:val="00071E9F"/>
    <w:rsid w:val="00072598"/>
    <w:rsid w:val="00073194"/>
    <w:rsid w:val="00073E8E"/>
    <w:rsid w:val="00074D2B"/>
    <w:rsid w:val="00077223"/>
    <w:rsid w:val="00077563"/>
    <w:rsid w:val="000819E3"/>
    <w:rsid w:val="00081D8F"/>
    <w:rsid w:val="0008299A"/>
    <w:rsid w:val="000856C3"/>
    <w:rsid w:val="000863E3"/>
    <w:rsid w:val="0008690E"/>
    <w:rsid w:val="000902D3"/>
    <w:rsid w:val="00093D5E"/>
    <w:rsid w:val="00093E39"/>
    <w:rsid w:val="00094788"/>
    <w:rsid w:val="00096A19"/>
    <w:rsid w:val="00096B19"/>
    <w:rsid w:val="00096DC6"/>
    <w:rsid w:val="000A0FA6"/>
    <w:rsid w:val="000A45D8"/>
    <w:rsid w:val="000A5AE3"/>
    <w:rsid w:val="000A61AA"/>
    <w:rsid w:val="000A64B4"/>
    <w:rsid w:val="000A662C"/>
    <w:rsid w:val="000A69D1"/>
    <w:rsid w:val="000B148C"/>
    <w:rsid w:val="000B1DDD"/>
    <w:rsid w:val="000B2FB9"/>
    <w:rsid w:val="000B2FD0"/>
    <w:rsid w:val="000B4696"/>
    <w:rsid w:val="000B7754"/>
    <w:rsid w:val="000C04F6"/>
    <w:rsid w:val="000C1B88"/>
    <w:rsid w:val="000C4C4C"/>
    <w:rsid w:val="000C5A0C"/>
    <w:rsid w:val="000C5B01"/>
    <w:rsid w:val="000C6D2B"/>
    <w:rsid w:val="000C70F8"/>
    <w:rsid w:val="000D0064"/>
    <w:rsid w:val="000D0323"/>
    <w:rsid w:val="000D1256"/>
    <w:rsid w:val="000D27A9"/>
    <w:rsid w:val="000D5A65"/>
    <w:rsid w:val="000E0561"/>
    <w:rsid w:val="000E0C15"/>
    <w:rsid w:val="000E37C9"/>
    <w:rsid w:val="000E3F12"/>
    <w:rsid w:val="000E4F5C"/>
    <w:rsid w:val="000E533E"/>
    <w:rsid w:val="000E5705"/>
    <w:rsid w:val="000E667C"/>
    <w:rsid w:val="000F0E57"/>
    <w:rsid w:val="000F37F7"/>
    <w:rsid w:val="000F39C8"/>
    <w:rsid w:val="000F4F34"/>
    <w:rsid w:val="000F6527"/>
    <w:rsid w:val="000F6948"/>
    <w:rsid w:val="000F695E"/>
    <w:rsid w:val="000F6D29"/>
    <w:rsid w:val="000F6EA9"/>
    <w:rsid w:val="000F769A"/>
    <w:rsid w:val="001006B7"/>
    <w:rsid w:val="00102AC2"/>
    <w:rsid w:val="001038A2"/>
    <w:rsid w:val="00105C45"/>
    <w:rsid w:val="0010692B"/>
    <w:rsid w:val="00106FA5"/>
    <w:rsid w:val="00110C84"/>
    <w:rsid w:val="00111497"/>
    <w:rsid w:val="00111565"/>
    <w:rsid w:val="00111BCA"/>
    <w:rsid w:val="00113F5D"/>
    <w:rsid w:val="00114DE2"/>
    <w:rsid w:val="00115F59"/>
    <w:rsid w:val="00117B42"/>
    <w:rsid w:val="00117D4F"/>
    <w:rsid w:val="00120521"/>
    <w:rsid w:val="00120FA9"/>
    <w:rsid w:val="00122E79"/>
    <w:rsid w:val="0012304D"/>
    <w:rsid w:val="00123801"/>
    <w:rsid w:val="00123E8D"/>
    <w:rsid w:val="001242A8"/>
    <w:rsid w:val="001248C9"/>
    <w:rsid w:val="00125AE9"/>
    <w:rsid w:val="00125BA0"/>
    <w:rsid w:val="0012674F"/>
    <w:rsid w:val="00127CCF"/>
    <w:rsid w:val="00130488"/>
    <w:rsid w:val="00130BC0"/>
    <w:rsid w:val="001312F4"/>
    <w:rsid w:val="00133ECD"/>
    <w:rsid w:val="00135DD0"/>
    <w:rsid w:val="00142B10"/>
    <w:rsid w:val="00142C39"/>
    <w:rsid w:val="001470F3"/>
    <w:rsid w:val="00151395"/>
    <w:rsid w:val="00151624"/>
    <w:rsid w:val="00151A37"/>
    <w:rsid w:val="00151CCC"/>
    <w:rsid w:val="00155A1B"/>
    <w:rsid w:val="0015666B"/>
    <w:rsid w:val="00161425"/>
    <w:rsid w:val="001625A7"/>
    <w:rsid w:val="0016358C"/>
    <w:rsid w:val="00163CDD"/>
    <w:rsid w:val="001640E3"/>
    <w:rsid w:val="00164F18"/>
    <w:rsid w:val="00166CC2"/>
    <w:rsid w:val="001671AB"/>
    <w:rsid w:val="00167CE2"/>
    <w:rsid w:val="001722BF"/>
    <w:rsid w:val="001729FB"/>
    <w:rsid w:val="00174188"/>
    <w:rsid w:val="00174FBE"/>
    <w:rsid w:val="0017589F"/>
    <w:rsid w:val="001759B7"/>
    <w:rsid w:val="001762A3"/>
    <w:rsid w:val="00177CBF"/>
    <w:rsid w:val="001809F8"/>
    <w:rsid w:val="00180E78"/>
    <w:rsid w:val="001813F3"/>
    <w:rsid w:val="00183DBB"/>
    <w:rsid w:val="001841F9"/>
    <w:rsid w:val="00184B7C"/>
    <w:rsid w:val="0018711C"/>
    <w:rsid w:val="001921B6"/>
    <w:rsid w:val="00196D00"/>
    <w:rsid w:val="001A0155"/>
    <w:rsid w:val="001A0774"/>
    <w:rsid w:val="001A15E9"/>
    <w:rsid w:val="001A2013"/>
    <w:rsid w:val="001A22FE"/>
    <w:rsid w:val="001A460E"/>
    <w:rsid w:val="001B0330"/>
    <w:rsid w:val="001B03FD"/>
    <w:rsid w:val="001B1F30"/>
    <w:rsid w:val="001B56D0"/>
    <w:rsid w:val="001B5775"/>
    <w:rsid w:val="001C0673"/>
    <w:rsid w:val="001C1C21"/>
    <w:rsid w:val="001C536A"/>
    <w:rsid w:val="001C6A4D"/>
    <w:rsid w:val="001C7878"/>
    <w:rsid w:val="001D1C5E"/>
    <w:rsid w:val="001D2F3B"/>
    <w:rsid w:val="001D538C"/>
    <w:rsid w:val="001D5A9D"/>
    <w:rsid w:val="001D67BB"/>
    <w:rsid w:val="001D7178"/>
    <w:rsid w:val="001D7BC4"/>
    <w:rsid w:val="001E0486"/>
    <w:rsid w:val="001E3FF0"/>
    <w:rsid w:val="001E48AC"/>
    <w:rsid w:val="001E55EF"/>
    <w:rsid w:val="001E6CD9"/>
    <w:rsid w:val="001E6FB5"/>
    <w:rsid w:val="001F0DF2"/>
    <w:rsid w:val="001F3022"/>
    <w:rsid w:val="001F3588"/>
    <w:rsid w:val="001F3A23"/>
    <w:rsid w:val="001F5597"/>
    <w:rsid w:val="001F5E4A"/>
    <w:rsid w:val="001F5E59"/>
    <w:rsid w:val="001F757D"/>
    <w:rsid w:val="00201F4B"/>
    <w:rsid w:val="00202021"/>
    <w:rsid w:val="00202980"/>
    <w:rsid w:val="0020524F"/>
    <w:rsid w:val="0020767D"/>
    <w:rsid w:val="002112EC"/>
    <w:rsid w:val="00211CC1"/>
    <w:rsid w:val="00211F72"/>
    <w:rsid w:val="002159D0"/>
    <w:rsid w:val="00216501"/>
    <w:rsid w:val="002224A3"/>
    <w:rsid w:val="00222C53"/>
    <w:rsid w:val="0022311B"/>
    <w:rsid w:val="0022457A"/>
    <w:rsid w:val="00224C4B"/>
    <w:rsid w:val="0022628B"/>
    <w:rsid w:val="00227288"/>
    <w:rsid w:val="00231330"/>
    <w:rsid w:val="002317FF"/>
    <w:rsid w:val="00231F4A"/>
    <w:rsid w:val="00234A15"/>
    <w:rsid w:val="00235C5F"/>
    <w:rsid w:val="002375EB"/>
    <w:rsid w:val="00237D37"/>
    <w:rsid w:val="002434B9"/>
    <w:rsid w:val="00244BAD"/>
    <w:rsid w:val="00244C3A"/>
    <w:rsid w:val="0024712B"/>
    <w:rsid w:val="0024763A"/>
    <w:rsid w:val="00250703"/>
    <w:rsid w:val="002509AE"/>
    <w:rsid w:val="00251C40"/>
    <w:rsid w:val="002524FF"/>
    <w:rsid w:val="00253542"/>
    <w:rsid w:val="002552DD"/>
    <w:rsid w:val="00260E27"/>
    <w:rsid w:val="00261139"/>
    <w:rsid w:val="0026201B"/>
    <w:rsid w:val="002628A6"/>
    <w:rsid w:val="00262EA6"/>
    <w:rsid w:val="00262F0C"/>
    <w:rsid w:val="00263E51"/>
    <w:rsid w:val="002640CD"/>
    <w:rsid w:val="002652E0"/>
    <w:rsid w:val="00265947"/>
    <w:rsid w:val="00267AC1"/>
    <w:rsid w:val="00271CDA"/>
    <w:rsid w:val="002727D5"/>
    <w:rsid w:val="00275B3D"/>
    <w:rsid w:val="00275C35"/>
    <w:rsid w:val="002773F4"/>
    <w:rsid w:val="00283CAD"/>
    <w:rsid w:val="002863E3"/>
    <w:rsid w:val="002877B7"/>
    <w:rsid w:val="00287D93"/>
    <w:rsid w:val="0029041E"/>
    <w:rsid w:val="0029064B"/>
    <w:rsid w:val="002920B0"/>
    <w:rsid w:val="00292C33"/>
    <w:rsid w:val="00292D5A"/>
    <w:rsid w:val="002936B3"/>
    <w:rsid w:val="00294C69"/>
    <w:rsid w:val="002959AC"/>
    <w:rsid w:val="00295FE1"/>
    <w:rsid w:val="002970CA"/>
    <w:rsid w:val="002A0039"/>
    <w:rsid w:val="002A0716"/>
    <w:rsid w:val="002A1A53"/>
    <w:rsid w:val="002A1C65"/>
    <w:rsid w:val="002A2773"/>
    <w:rsid w:val="002A4847"/>
    <w:rsid w:val="002B0F23"/>
    <w:rsid w:val="002B1781"/>
    <w:rsid w:val="002B206B"/>
    <w:rsid w:val="002B3649"/>
    <w:rsid w:val="002B4DA3"/>
    <w:rsid w:val="002B5C2C"/>
    <w:rsid w:val="002B63B9"/>
    <w:rsid w:val="002B6AC3"/>
    <w:rsid w:val="002B7AE6"/>
    <w:rsid w:val="002C007A"/>
    <w:rsid w:val="002C41A8"/>
    <w:rsid w:val="002C4502"/>
    <w:rsid w:val="002C544E"/>
    <w:rsid w:val="002C670A"/>
    <w:rsid w:val="002C6A83"/>
    <w:rsid w:val="002C7C26"/>
    <w:rsid w:val="002D4719"/>
    <w:rsid w:val="002D5DD3"/>
    <w:rsid w:val="002D6763"/>
    <w:rsid w:val="002D6B18"/>
    <w:rsid w:val="002E24BE"/>
    <w:rsid w:val="002E30B9"/>
    <w:rsid w:val="002E4A5C"/>
    <w:rsid w:val="002E4DCC"/>
    <w:rsid w:val="002E5982"/>
    <w:rsid w:val="002E72BF"/>
    <w:rsid w:val="002E7796"/>
    <w:rsid w:val="002F1215"/>
    <w:rsid w:val="002F68F9"/>
    <w:rsid w:val="002F74D0"/>
    <w:rsid w:val="00300500"/>
    <w:rsid w:val="00302B49"/>
    <w:rsid w:val="00302EA4"/>
    <w:rsid w:val="003032C7"/>
    <w:rsid w:val="00303F6A"/>
    <w:rsid w:val="0030668B"/>
    <w:rsid w:val="00306EF7"/>
    <w:rsid w:val="00307441"/>
    <w:rsid w:val="00307B41"/>
    <w:rsid w:val="003108B0"/>
    <w:rsid w:val="003128DC"/>
    <w:rsid w:val="00312A88"/>
    <w:rsid w:val="00314BD3"/>
    <w:rsid w:val="0031564C"/>
    <w:rsid w:val="00317128"/>
    <w:rsid w:val="003178A0"/>
    <w:rsid w:val="003214B8"/>
    <w:rsid w:val="003242BD"/>
    <w:rsid w:val="0032574D"/>
    <w:rsid w:val="00326CDB"/>
    <w:rsid w:val="003271AD"/>
    <w:rsid w:val="003307F2"/>
    <w:rsid w:val="0033279C"/>
    <w:rsid w:val="00332C1D"/>
    <w:rsid w:val="00335320"/>
    <w:rsid w:val="00337A99"/>
    <w:rsid w:val="00341FAD"/>
    <w:rsid w:val="0034313E"/>
    <w:rsid w:val="003438F1"/>
    <w:rsid w:val="00344435"/>
    <w:rsid w:val="00346CAB"/>
    <w:rsid w:val="0034706E"/>
    <w:rsid w:val="003477D8"/>
    <w:rsid w:val="0035070B"/>
    <w:rsid w:val="003514DE"/>
    <w:rsid w:val="003563AD"/>
    <w:rsid w:val="0035769E"/>
    <w:rsid w:val="00357BA2"/>
    <w:rsid w:val="00360016"/>
    <w:rsid w:val="0036092D"/>
    <w:rsid w:val="003632FA"/>
    <w:rsid w:val="00364C77"/>
    <w:rsid w:val="00370652"/>
    <w:rsid w:val="00372587"/>
    <w:rsid w:val="00376064"/>
    <w:rsid w:val="00380674"/>
    <w:rsid w:val="00381019"/>
    <w:rsid w:val="0038162A"/>
    <w:rsid w:val="00381661"/>
    <w:rsid w:val="003818D8"/>
    <w:rsid w:val="00382613"/>
    <w:rsid w:val="003841AD"/>
    <w:rsid w:val="00384D29"/>
    <w:rsid w:val="00385421"/>
    <w:rsid w:val="0038747D"/>
    <w:rsid w:val="0039192A"/>
    <w:rsid w:val="00391A7A"/>
    <w:rsid w:val="00392044"/>
    <w:rsid w:val="0039207F"/>
    <w:rsid w:val="00395B7E"/>
    <w:rsid w:val="003962B9"/>
    <w:rsid w:val="003970EE"/>
    <w:rsid w:val="003A0B49"/>
    <w:rsid w:val="003A1E1B"/>
    <w:rsid w:val="003A29D7"/>
    <w:rsid w:val="003A7771"/>
    <w:rsid w:val="003B114D"/>
    <w:rsid w:val="003B3940"/>
    <w:rsid w:val="003B4002"/>
    <w:rsid w:val="003B4F7B"/>
    <w:rsid w:val="003B653F"/>
    <w:rsid w:val="003B7EC8"/>
    <w:rsid w:val="003C079C"/>
    <w:rsid w:val="003C08B0"/>
    <w:rsid w:val="003C0C15"/>
    <w:rsid w:val="003C1EA7"/>
    <w:rsid w:val="003C3975"/>
    <w:rsid w:val="003C3B2F"/>
    <w:rsid w:val="003C3BC5"/>
    <w:rsid w:val="003C43C8"/>
    <w:rsid w:val="003C6AD3"/>
    <w:rsid w:val="003D231E"/>
    <w:rsid w:val="003D3465"/>
    <w:rsid w:val="003D425C"/>
    <w:rsid w:val="003D458D"/>
    <w:rsid w:val="003E0A98"/>
    <w:rsid w:val="003E6012"/>
    <w:rsid w:val="003E654F"/>
    <w:rsid w:val="003E686B"/>
    <w:rsid w:val="003F15B3"/>
    <w:rsid w:val="003F1C66"/>
    <w:rsid w:val="003F2A5E"/>
    <w:rsid w:val="003F3F02"/>
    <w:rsid w:val="003F40CF"/>
    <w:rsid w:val="003F7DA5"/>
    <w:rsid w:val="003F7F7D"/>
    <w:rsid w:val="004005F1"/>
    <w:rsid w:val="00400E4C"/>
    <w:rsid w:val="004014FA"/>
    <w:rsid w:val="00404E77"/>
    <w:rsid w:val="004065D9"/>
    <w:rsid w:val="004104B4"/>
    <w:rsid w:val="00410D44"/>
    <w:rsid w:val="00413A49"/>
    <w:rsid w:val="00416BC2"/>
    <w:rsid w:val="00417182"/>
    <w:rsid w:val="00417877"/>
    <w:rsid w:val="004204B6"/>
    <w:rsid w:val="0042062F"/>
    <w:rsid w:val="004233C3"/>
    <w:rsid w:val="00424E5D"/>
    <w:rsid w:val="00425748"/>
    <w:rsid w:val="00425F53"/>
    <w:rsid w:val="004262A4"/>
    <w:rsid w:val="00426DBE"/>
    <w:rsid w:val="00432213"/>
    <w:rsid w:val="00433C6D"/>
    <w:rsid w:val="00434060"/>
    <w:rsid w:val="00434D57"/>
    <w:rsid w:val="00436B44"/>
    <w:rsid w:val="00437552"/>
    <w:rsid w:val="00437833"/>
    <w:rsid w:val="00441218"/>
    <w:rsid w:val="004422BE"/>
    <w:rsid w:val="00442D21"/>
    <w:rsid w:val="00442ECA"/>
    <w:rsid w:val="00444648"/>
    <w:rsid w:val="00445633"/>
    <w:rsid w:val="00446AA5"/>
    <w:rsid w:val="00446F1C"/>
    <w:rsid w:val="0044732D"/>
    <w:rsid w:val="004474D7"/>
    <w:rsid w:val="004509D9"/>
    <w:rsid w:val="004513B6"/>
    <w:rsid w:val="0045161B"/>
    <w:rsid w:val="0045220A"/>
    <w:rsid w:val="00452307"/>
    <w:rsid w:val="00452F3F"/>
    <w:rsid w:val="00453A5B"/>
    <w:rsid w:val="00453D76"/>
    <w:rsid w:val="00455831"/>
    <w:rsid w:val="00456231"/>
    <w:rsid w:val="004568F5"/>
    <w:rsid w:val="004601DC"/>
    <w:rsid w:val="00461A76"/>
    <w:rsid w:val="00461FE5"/>
    <w:rsid w:val="004660A4"/>
    <w:rsid w:val="0047025F"/>
    <w:rsid w:val="0047270A"/>
    <w:rsid w:val="00473B46"/>
    <w:rsid w:val="00481A97"/>
    <w:rsid w:val="00483FBC"/>
    <w:rsid w:val="004850F8"/>
    <w:rsid w:val="004856D3"/>
    <w:rsid w:val="0048578D"/>
    <w:rsid w:val="004859FA"/>
    <w:rsid w:val="00490509"/>
    <w:rsid w:val="0049182D"/>
    <w:rsid w:val="00491B63"/>
    <w:rsid w:val="00493462"/>
    <w:rsid w:val="004939AA"/>
    <w:rsid w:val="00495FF0"/>
    <w:rsid w:val="00496168"/>
    <w:rsid w:val="0049667E"/>
    <w:rsid w:val="00496F46"/>
    <w:rsid w:val="004A1A82"/>
    <w:rsid w:val="004A1B32"/>
    <w:rsid w:val="004A4C05"/>
    <w:rsid w:val="004A577F"/>
    <w:rsid w:val="004A5DD1"/>
    <w:rsid w:val="004B147B"/>
    <w:rsid w:val="004B2835"/>
    <w:rsid w:val="004B4606"/>
    <w:rsid w:val="004B4858"/>
    <w:rsid w:val="004B5272"/>
    <w:rsid w:val="004B6D46"/>
    <w:rsid w:val="004B7B98"/>
    <w:rsid w:val="004C1106"/>
    <w:rsid w:val="004C2893"/>
    <w:rsid w:val="004C5841"/>
    <w:rsid w:val="004C5EC0"/>
    <w:rsid w:val="004C6F72"/>
    <w:rsid w:val="004C784A"/>
    <w:rsid w:val="004C7A4A"/>
    <w:rsid w:val="004D07E3"/>
    <w:rsid w:val="004D095B"/>
    <w:rsid w:val="004D248F"/>
    <w:rsid w:val="004D41B6"/>
    <w:rsid w:val="004D6927"/>
    <w:rsid w:val="004D6C5C"/>
    <w:rsid w:val="004E0147"/>
    <w:rsid w:val="004E0D64"/>
    <w:rsid w:val="004E5D4D"/>
    <w:rsid w:val="004E6703"/>
    <w:rsid w:val="004E73AC"/>
    <w:rsid w:val="004E793E"/>
    <w:rsid w:val="004E7E61"/>
    <w:rsid w:val="004E7F26"/>
    <w:rsid w:val="004F0711"/>
    <w:rsid w:val="004F1AE5"/>
    <w:rsid w:val="004F2671"/>
    <w:rsid w:val="004F378B"/>
    <w:rsid w:val="004F3F45"/>
    <w:rsid w:val="004F521A"/>
    <w:rsid w:val="005007FA"/>
    <w:rsid w:val="005031E5"/>
    <w:rsid w:val="00505E6E"/>
    <w:rsid w:val="0050661F"/>
    <w:rsid w:val="00506A73"/>
    <w:rsid w:val="00506EA4"/>
    <w:rsid w:val="005071E3"/>
    <w:rsid w:val="00511730"/>
    <w:rsid w:val="00513417"/>
    <w:rsid w:val="00515C3D"/>
    <w:rsid w:val="0051781D"/>
    <w:rsid w:val="00521A70"/>
    <w:rsid w:val="0052272E"/>
    <w:rsid w:val="005241B2"/>
    <w:rsid w:val="00525F89"/>
    <w:rsid w:val="00526261"/>
    <w:rsid w:val="00533B23"/>
    <w:rsid w:val="005348EC"/>
    <w:rsid w:val="005364C2"/>
    <w:rsid w:val="00536751"/>
    <w:rsid w:val="005416AD"/>
    <w:rsid w:val="00541BB4"/>
    <w:rsid w:val="0054288D"/>
    <w:rsid w:val="00542A9D"/>
    <w:rsid w:val="0054721E"/>
    <w:rsid w:val="005507B1"/>
    <w:rsid w:val="00550C48"/>
    <w:rsid w:val="005516A2"/>
    <w:rsid w:val="00551878"/>
    <w:rsid w:val="00551F51"/>
    <w:rsid w:val="00556764"/>
    <w:rsid w:val="0055711A"/>
    <w:rsid w:val="005575E7"/>
    <w:rsid w:val="00557719"/>
    <w:rsid w:val="00562CB2"/>
    <w:rsid w:val="00567648"/>
    <w:rsid w:val="00570B10"/>
    <w:rsid w:val="00570B89"/>
    <w:rsid w:val="005714C9"/>
    <w:rsid w:val="0057313D"/>
    <w:rsid w:val="00581CB0"/>
    <w:rsid w:val="00582BA3"/>
    <w:rsid w:val="00582F97"/>
    <w:rsid w:val="005834EF"/>
    <w:rsid w:val="00583681"/>
    <w:rsid w:val="00583C36"/>
    <w:rsid w:val="005845E1"/>
    <w:rsid w:val="00584CF9"/>
    <w:rsid w:val="005858C3"/>
    <w:rsid w:val="005860F8"/>
    <w:rsid w:val="005864D0"/>
    <w:rsid w:val="00591F0E"/>
    <w:rsid w:val="005936D6"/>
    <w:rsid w:val="005938F5"/>
    <w:rsid w:val="00593EE7"/>
    <w:rsid w:val="0059496F"/>
    <w:rsid w:val="00595C94"/>
    <w:rsid w:val="00597989"/>
    <w:rsid w:val="005A001E"/>
    <w:rsid w:val="005A13B8"/>
    <w:rsid w:val="005A1819"/>
    <w:rsid w:val="005A189C"/>
    <w:rsid w:val="005A20D4"/>
    <w:rsid w:val="005A2F42"/>
    <w:rsid w:val="005A369D"/>
    <w:rsid w:val="005A3E66"/>
    <w:rsid w:val="005A5BEE"/>
    <w:rsid w:val="005A64B3"/>
    <w:rsid w:val="005A7012"/>
    <w:rsid w:val="005A7A1B"/>
    <w:rsid w:val="005B0C20"/>
    <w:rsid w:val="005B19A6"/>
    <w:rsid w:val="005B1AFF"/>
    <w:rsid w:val="005B1EEF"/>
    <w:rsid w:val="005B2D47"/>
    <w:rsid w:val="005B387C"/>
    <w:rsid w:val="005B426C"/>
    <w:rsid w:val="005B580B"/>
    <w:rsid w:val="005B6043"/>
    <w:rsid w:val="005B6835"/>
    <w:rsid w:val="005B6A3F"/>
    <w:rsid w:val="005B6C4A"/>
    <w:rsid w:val="005B7252"/>
    <w:rsid w:val="005C0D80"/>
    <w:rsid w:val="005C44D6"/>
    <w:rsid w:val="005C46AD"/>
    <w:rsid w:val="005C4C48"/>
    <w:rsid w:val="005C5B1A"/>
    <w:rsid w:val="005C5F70"/>
    <w:rsid w:val="005C6EE4"/>
    <w:rsid w:val="005D095C"/>
    <w:rsid w:val="005D1FC8"/>
    <w:rsid w:val="005D2082"/>
    <w:rsid w:val="005D35AF"/>
    <w:rsid w:val="005D37F0"/>
    <w:rsid w:val="005D5FD6"/>
    <w:rsid w:val="005D76A5"/>
    <w:rsid w:val="005D7F5D"/>
    <w:rsid w:val="005E0835"/>
    <w:rsid w:val="005E0A36"/>
    <w:rsid w:val="005E2C74"/>
    <w:rsid w:val="005E2EDB"/>
    <w:rsid w:val="005E4D0F"/>
    <w:rsid w:val="005E4E3D"/>
    <w:rsid w:val="005E54A3"/>
    <w:rsid w:val="005E5DDE"/>
    <w:rsid w:val="005F1B31"/>
    <w:rsid w:val="005F243C"/>
    <w:rsid w:val="005F39C2"/>
    <w:rsid w:val="005F3DEB"/>
    <w:rsid w:val="005F40B7"/>
    <w:rsid w:val="005F7E63"/>
    <w:rsid w:val="006023F9"/>
    <w:rsid w:val="006048FC"/>
    <w:rsid w:val="00604D1B"/>
    <w:rsid w:val="00607467"/>
    <w:rsid w:val="00607D28"/>
    <w:rsid w:val="00610E8C"/>
    <w:rsid w:val="0061237E"/>
    <w:rsid w:val="006123A4"/>
    <w:rsid w:val="00613A6B"/>
    <w:rsid w:val="00613EE2"/>
    <w:rsid w:val="00614BEA"/>
    <w:rsid w:val="00614EAA"/>
    <w:rsid w:val="00614F55"/>
    <w:rsid w:val="00617D60"/>
    <w:rsid w:val="00621414"/>
    <w:rsid w:val="00621738"/>
    <w:rsid w:val="00622356"/>
    <w:rsid w:val="00622C46"/>
    <w:rsid w:val="00623688"/>
    <w:rsid w:val="00623F96"/>
    <w:rsid w:val="00624120"/>
    <w:rsid w:val="006244ED"/>
    <w:rsid w:val="00627EB0"/>
    <w:rsid w:val="00630785"/>
    <w:rsid w:val="00631B08"/>
    <w:rsid w:val="0063221B"/>
    <w:rsid w:val="00633CBF"/>
    <w:rsid w:val="00634DC8"/>
    <w:rsid w:val="0063501E"/>
    <w:rsid w:val="00636350"/>
    <w:rsid w:val="00636759"/>
    <w:rsid w:val="006369D6"/>
    <w:rsid w:val="00636F99"/>
    <w:rsid w:val="0063731B"/>
    <w:rsid w:val="00640CD6"/>
    <w:rsid w:val="006413D8"/>
    <w:rsid w:val="00642745"/>
    <w:rsid w:val="00644EA0"/>
    <w:rsid w:val="00644F82"/>
    <w:rsid w:val="0064744A"/>
    <w:rsid w:val="00647A0C"/>
    <w:rsid w:val="006501D8"/>
    <w:rsid w:val="006514E3"/>
    <w:rsid w:val="00652DBD"/>
    <w:rsid w:val="006530D3"/>
    <w:rsid w:val="006531A4"/>
    <w:rsid w:val="00653FF6"/>
    <w:rsid w:val="006540A0"/>
    <w:rsid w:val="0065420D"/>
    <w:rsid w:val="00654B46"/>
    <w:rsid w:val="0065662E"/>
    <w:rsid w:val="00656E02"/>
    <w:rsid w:val="006600FD"/>
    <w:rsid w:val="00660A43"/>
    <w:rsid w:val="00660DA6"/>
    <w:rsid w:val="00662B10"/>
    <w:rsid w:val="00663C02"/>
    <w:rsid w:val="00664F8A"/>
    <w:rsid w:val="0066650B"/>
    <w:rsid w:val="00666E32"/>
    <w:rsid w:val="0067181C"/>
    <w:rsid w:val="00672476"/>
    <w:rsid w:val="00672943"/>
    <w:rsid w:val="00675897"/>
    <w:rsid w:val="00680438"/>
    <w:rsid w:val="0068244A"/>
    <w:rsid w:val="00682EF0"/>
    <w:rsid w:val="00683905"/>
    <w:rsid w:val="00683EDC"/>
    <w:rsid w:val="00684717"/>
    <w:rsid w:val="00686591"/>
    <w:rsid w:val="0068762C"/>
    <w:rsid w:val="00690614"/>
    <w:rsid w:val="00691538"/>
    <w:rsid w:val="00691911"/>
    <w:rsid w:val="00692654"/>
    <w:rsid w:val="00694009"/>
    <w:rsid w:val="006971FE"/>
    <w:rsid w:val="00697541"/>
    <w:rsid w:val="006A0AAB"/>
    <w:rsid w:val="006A0EBD"/>
    <w:rsid w:val="006A2127"/>
    <w:rsid w:val="006A307B"/>
    <w:rsid w:val="006A7365"/>
    <w:rsid w:val="006B0973"/>
    <w:rsid w:val="006B1403"/>
    <w:rsid w:val="006B3C58"/>
    <w:rsid w:val="006B3D15"/>
    <w:rsid w:val="006B3F74"/>
    <w:rsid w:val="006B4815"/>
    <w:rsid w:val="006B6F85"/>
    <w:rsid w:val="006B7C60"/>
    <w:rsid w:val="006C0361"/>
    <w:rsid w:val="006C0F04"/>
    <w:rsid w:val="006C339E"/>
    <w:rsid w:val="006C3E3F"/>
    <w:rsid w:val="006C3E85"/>
    <w:rsid w:val="006C408F"/>
    <w:rsid w:val="006C5F71"/>
    <w:rsid w:val="006C7A98"/>
    <w:rsid w:val="006D40CE"/>
    <w:rsid w:val="006D592F"/>
    <w:rsid w:val="006D686A"/>
    <w:rsid w:val="006D6C41"/>
    <w:rsid w:val="006D6E75"/>
    <w:rsid w:val="006D70AB"/>
    <w:rsid w:val="006D7EC9"/>
    <w:rsid w:val="006E0432"/>
    <w:rsid w:val="006E0746"/>
    <w:rsid w:val="006E15DE"/>
    <w:rsid w:val="006E30EB"/>
    <w:rsid w:val="006E4334"/>
    <w:rsid w:val="006E5868"/>
    <w:rsid w:val="006E656E"/>
    <w:rsid w:val="006E6E1B"/>
    <w:rsid w:val="006F1BB8"/>
    <w:rsid w:val="006F2086"/>
    <w:rsid w:val="006F213E"/>
    <w:rsid w:val="006F28B3"/>
    <w:rsid w:val="006F28DD"/>
    <w:rsid w:val="006F5A20"/>
    <w:rsid w:val="006F5EE8"/>
    <w:rsid w:val="006F7C33"/>
    <w:rsid w:val="00700A18"/>
    <w:rsid w:val="00700EF7"/>
    <w:rsid w:val="007019CE"/>
    <w:rsid w:val="00702F3C"/>
    <w:rsid w:val="007068DB"/>
    <w:rsid w:val="007079FD"/>
    <w:rsid w:val="00712677"/>
    <w:rsid w:val="00712D21"/>
    <w:rsid w:val="00713677"/>
    <w:rsid w:val="00713C42"/>
    <w:rsid w:val="00717B18"/>
    <w:rsid w:val="007200CD"/>
    <w:rsid w:val="007220F6"/>
    <w:rsid w:val="00723B06"/>
    <w:rsid w:val="00723D6A"/>
    <w:rsid w:val="00724727"/>
    <w:rsid w:val="00724A9E"/>
    <w:rsid w:val="007252BE"/>
    <w:rsid w:val="007268C3"/>
    <w:rsid w:val="00730015"/>
    <w:rsid w:val="00731218"/>
    <w:rsid w:val="007318E6"/>
    <w:rsid w:val="00732E16"/>
    <w:rsid w:val="007343A4"/>
    <w:rsid w:val="007350D3"/>
    <w:rsid w:val="00735EDC"/>
    <w:rsid w:val="0073640E"/>
    <w:rsid w:val="0073707D"/>
    <w:rsid w:val="00740B3E"/>
    <w:rsid w:val="00742C80"/>
    <w:rsid w:val="00745728"/>
    <w:rsid w:val="00745E43"/>
    <w:rsid w:val="007461DC"/>
    <w:rsid w:val="00746E6A"/>
    <w:rsid w:val="007474C7"/>
    <w:rsid w:val="00747F13"/>
    <w:rsid w:val="00750EE9"/>
    <w:rsid w:val="0075151A"/>
    <w:rsid w:val="00751657"/>
    <w:rsid w:val="00751C52"/>
    <w:rsid w:val="0075224B"/>
    <w:rsid w:val="00752C05"/>
    <w:rsid w:val="00754518"/>
    <w:rsid w:val="00755A57"/>
    <w:rsid w:val="00757624"/>
    <w:rsid w:val="007610A6"/>
    <w:rsid w:val="00761B06"/>
    <w:rsid w:val="00763D86"/>
    <w:rsid w:val="00764247"/>
    <w:rsid w:val="00764DB7"/>
    <w:rsid w:val="0076572F"/>
    <w:rsid w:val="00766CF8"/>
    <w:rsid w:val="007709A9"/>
    <w:rsid w:val="007712FD"/>
    <w:rsid w:val="00771FD0"/>
    <w:rsid w:val="0077213F"/>
    <w:rsid w:val="00772837"/>
    <w:rsid w:val="00772945"/>
    <w:rsid w:val="007730C9"/>
    <w:rsid w:val="00775C21"/>
    <w:rsid w:val="00775FEA"/>
    <w:rsid w:val="00781049"/>
    <w:rsid w:val="007810E8"/>
    <w:rsid w:val="0078154F"/>
    <w:rsid w:val="00783B41"/>
    <w:rsid w:val="00783E89"/>
    <w:rsid w:val="00785047"/>
    <w:rsid w:val="00786BA3"/>
    <w:rsid w:val="0078741C"/>
    <w:rsid w:val="0079000A"/>
    <w:rsid w:val="007901E8"/>
    <w:rsid w:val="007906A4"/>
    <w:rsid w:val="007909A6"/>
    <w:rsid w:val="00791E19"/>
    <w:rsid w:val="007921AF"/>
    <w:rsid w:val="0079359A"/>
    <w:rsid w:val="00794618"/>
    <w:rsid w:val="007946D4"/>
    <w:rsid w:val="007964D6"/>
    <w:rsid w:val="007A0ACF"/>
    <w:rsid w:val="007A1132"/>
    <w:rsid w:val="007A2EEF"/>
    <w:rsid w:val="007A3525"/>
    <w:rsid w:val="007A3776"/>
    <w:rsid w:val="007A40D0"/>
    <w:rsid w:val="007A6101"/>
    <w:rsid w:val="007A6183"/>
    <w:rsid w:val="007A6915"/>
    <w:rsid w:val="007B014F"/>
    <w:rsid w:val="007B059B"/>
    <w:rsid w:val="007B1266"/>
    <w:rsid w:val="007B2B18"/>
    <w:rsid w:val="007B346A"/>
    <w:rsid w:val="007B35EE"/>
    <w:rsid w:val="007B444B"/>
    <w:rsid w:val="007B6F66"/>
    <w:rsid w:val="007C0021"/>
    <w:rsid w:val="007C01D9"/>
    <w:rsid w:val="007C37B6"/>
    <w:rsid w:val="007C7A28"/>
    <w:rsid w:val="007D1745"/>
    <w:rsid w:val="007D64A4"/>
    <w:rsid w:val="007D71A0"/>
    <w:rsid w:val="007D758A"/>
    <w:rsid w:val="007E06BA"/>
    <w:rsid w:val="007E0EB0"/>
    <w:rsid w:val="007E1100"/>
    <w:rsid w:val="007E1AFB"/>
    <w:rsid w:val="007E34A5"/>
    <w:rsid w:val="007E3603"/>
    <w:rsid w:val="007E6B83"/>
    <w:rsid w:val="007F1708"/>
    <w:rsid w:val="007F271B"/>
    <w:rsid w:val="007F48BC"/>
    <w:rsid w:val="007F67D0"/>
    <w:rsid w:val="007F6EB0"/>
    <w:rsid w:val="007F7E97"/>
    <w:rsid w:val="00801522"/>
    <w:rsid w:val="008029F8"/>
    <w:rsid w:val="008032ED"/>
    <w:rsid w:val="00804398"/>
    <w:rsid w:val="008043D3"/>
    <w:rsid w:val="008045C0"/>
    <w:rsid w:val="00805315"/>
    <w:rsid w:val="008073B7"/>
    <w:rsid w:val="00807494"/>
    <w:rsid w:val="008075E4"/>
    <w:rsid w:val="00811F48"/>
    <w:rsid w:val="00814343"/>
    <w:rsid w:val="0081543C"/>
    <w:rsid w:val="00816C44"/>
    <w:rsid w:val="008176A8"/>
    <w:rsid w:val="008209DD"/>
    <w:rsid w:val="0082196A"/>
    <w:rsid w:val="0082202C"/>
    <w:rsid w:val="0082361E"/>
    <w:rsid w:val="00823EAE"/>
    <w:rsid w:val="00825660"/>
    <w:rsid w:val="0082589C"/>
    <w:rsid w:val="00827E82"/>
    <w:rsid w:val="008302A3"/>
    <w:rsid w:val="00831345"/>
    <w:rsid w:val="008313D3"/>
    <w:rsid w:val="0083288B"/>
    <w:rsid w:val="008338CB"/>
    <w:rsid w:val="0083458B"/>
    <w:rsid w:val="00836E9C"/>
    <w:rsid w:val="00841ED7"/>
    <w:rsid w:val="00842F38"/>
    <w:rsid w:val="008434C4"/>
    <w:rsid w:val="008467DF"/>
    <w:rsid w:val="008504DC"/>
    <w:rsid w:val="008507C4"/>
    <w:rsid w:val="0085436D"/>
    <w:rsid w:val="00857309"/>
    <w:rsid w:val="0086163A"/>
    <w:rsid w:val="00861658"/>
    <w:rsid w:val="00861F4B"/>
    <w:rsid w:val="00862E34"/>
    <w:rsid w:val="008633F1"/>
    <w:rsid w:val="008633F5"/>
    <w:rsid w:val="00863C7B"/>
    <w:rsid w:val="00864C41"/>
    <w:rsid w:val="00865E25"/>
    <w:rsid w:val="00865F78"/>
    <w:rsid w:val="00870BBE"/>
    <w:rsid w:val="0087324D"/>
    <w:rsid w:val="008732AB"/>
    <w:rsid w:val="0087378C"/>
    <w:rsid w:val="0087448F"/>
    <w:rsid w:val="0087750B"/>
    <w:rsid w:val="00880796"/>
    <w:rsid w:val="0088120B"/>
    <w:rsid w:val="008830E5"/>
    <w:rsid w:val="00883BEC"/>
    <w:rsid w:val="008904A6"/>
    <w:rsid w:val="00890BB7"/>
    <w:rsid w:val="008951D5"/>
    <w:rsid w:val="00895675"/>
    <w:rsid w:val="00895E4B"/>
    <w:rsid w:val="008A13CB"/>
    <w:rsid w:val="008A2167"/>
    <w:rsid w:val="008A2C67"/>
    <w:rsid w:val="008A67AD"/>
    <w:rsid w:val="008B0EDD"/>
    <w:rsid w:val="008B4395"/>
    <w:rsid w:val="008B5BB6"/>
    <w:rsid w:val="008B678E"/>
    <w:rsid w:val="008B6B03"/>
    <w:rsid w:val="008C037F"/>
    <w:rsid w:val="008C2CA5"/>
    <w:rsid w:val="008C5F11"/>
    <w:rsid w:val="008D2C2F"/>
    <w:rsid w:val="008D56A0"/>
    <w:rsid w:val="008E180A"/>
    <w:rsid w:val="008E2F14"/>
    <w:rsid w:val="008E412F"/>
    <w:rsid w:val="008E6CCB"/>
    <w:rsid w:val="008E6D65"/>
    <w:rsid w:val="008E7F24"/>
    <w:rsid w:val="008F232C"/>
    <w:rsid w:val="008F509E"/>
    <w:rsid w:val="008F7BA0"/>
    <w:rsid w:val="008F7FF8"/>
    <w:rsid w:val="009000A9"/>
    <w:rsid w:val="00900F5A"/>
    <w:rsid w:val="00901F8D"/>
    <w:rsid w:val="00902341"/>
    <w:rsid w:val="0090319D"/>
    <w:rsid w:val="0090387F"/>
    <w:rsid w:val="00906F5A"/>
    <w:rsid w:val="00907E26"/>
    <w:rsid w:val="00911BD0"/>
    <w:rsid w:val="00911C00"/>
    <w:rsid w:val="009120C5"/>
    <w:rsid w:val="009129A1"/>
    <w:rsid w:val="00913787"/>
    <w:rsid w:val="00916420"/>
    <w:rsid w:val="00920056"/>
    <w:rsid w:val="00921284"/>
    <w:rsid w:val="00927D6F"/>
    <w:rsid w:val="00927DFA"/>
    <w:rsid w:val="00931905"/>
    <w:rsid w:val="009320C2"/>
    <w:rsid w:val="009322D6"/>
    <w:rsid w:val="00932C54"/>
    <w:rsid w:val="00933722"/>
    <w:rsid w:val="00933915"/>
    <w:rsid w:val="00940660"/>
    <w:rsid w:val="00943957"/>
    <w:rsid w:val="00943A58"/>
    <w:rsid w:val="009451D6"/>
    <w:rsid w:val="00945C7D"/>
    <w:rsid w:val="0095153B"/>
    <w:rsid w:val="0095286C"/>
    <w:rsid w:val="00953273"/>
    <w:rsid w:val="00957327"/>
    <w:rsid w:val="009609CB"/>
    <w:rsid w:val="00963890"/>
    <w:rsid w:val="00963BB3"/>
    <w:rsid w:val="0096473E"/>
    <w:rsid w:val="00965F69"/>
    <w:rsid w:val="009660EF"/>
    <w:rsid w:val="00966B7D"/>
    <w:rsid w:val="0096783F"/>
    <w:rsid w:val="00967A85"/>
    <w:rsid w:val="0097064B"/>
    <w:rsid w:val="00970730"/>
    <w:rsid w:val="00970F06"/>
    <w:rsid w:val="00972C26"/>
    <w:rsid w:val="00973AEB"/>
    <w:rsid w:val="00974627"/>
    <w:rsid w:val="00974AFB"/>
    <w:rsid w:val="009768D6"/>
    <w:rsid w:val="009821F9"/>
    <w:rsid w:val="00983D56"/>
    <w:rsid w:val="00985E1B"/>
    <w:rsid w:val="00986838"/>
    <w:rsid w:val="00986B5E"/>
    <w:rsid w:val="009902A4"/>
    <w:rsid w:val="00990A77"/>
    <w:rsid w:val="0099194B"/>
    <w:rsid w:val="00993B11"/>
    <w:rsid w:val="00994128"/>
    <w:rsid w:val="00995293"/>
    <w:rsid w:val="00995743"/>
    <w:rsid w:val="009965F4"/>
    <w:rsid w:val="0099693B"/>
    <w:rsid w:val="009976C1"/>
    <w:rsid w:val="00997929"/>
    <w:rsid w:val="00997E6B"/>
    <w:rsid w:val="009A0588"/>
    <w:rsid w:val="009A16F1"/>
    <w:rsid w:val="009A177D"/>
    <w:rsid w:val="009A2FA2"/>
    <w:rsid w:val="009A33C7"/>
    <w:rsid w:val="009A3E55"/>
    <w:rsid w:val="009B28A7"/>
    <w:rsid w:val="009B2D68"/>
    <w:rsid w:val="009B75A1"/>
    <w:rsid w:val="009C22B9"/>
    <w:rsid w:val="009C2846"/>
    <w:rsid w:val="009C42BA"/>
    <w:rsid w:val="009C6DB9"/>
    <w:rsid w:val="009C7555"/>
    <w:rsid w:val="009D110D"/>
    <w:rsid w:val="009D1898"/>
    <w:rsid w:val="009D19B0"/>
    <w:rsid w:val="009D3BB9"/>
    <w:rsid w:val="009D5146"/>
    <w:rsid w:val="009D516A"/>
    <w:rsid w:val="009E01ED"/>
    <w:rsid w:val="009E10F7"/>
    <w:rsid w:val="009E177D"/>
    <w:rsid w:val="009E2828"/>
    <w:rsid w:val="009E412D"/>
    <w:rsid w:val="009E5B11"/>
    <w:rsid w:val="009E683B"/>
    <w:rsid w:val="009E7D87"/>
    <w:rsid w:val="009F1FA9"/>
    <w:rsid w:val="009F20C9"/>
    <w:rsid w:val="009F3C82"/>
    <w:rsid w:val="009F49C3"/>
    <w:rsid w:val="009F4F32"/>
    <w:rsid w:val="009F5560"/>
    <w:rsid w:val="00A01C55"/>
    <w:rsid w:val="00A0265F"/>
    <w:rsid w:val="00A02A21"/>
    <w:rsid w:val="00A02D4D"/>
    <w:rsid w:val="00A030C2"/>
    <w:rsid w:val="00A04D18"/>
    <w:rsid w:val="00A04FEA"/>
    <w:rsid w:val="00A05172"/>
    <w:rsid w:val="00A06C0A"/>
    <w:rsid w:val="00A06FB7"/>
    <w:rsid w:val="00A07D1C"/>
    <w:rsid w:val="00A10672"/>
    <w:rsid w:val="00A10B2A"/>
    <w:rsid w:val="00A1111E"/>
    <w:rsid w:val="00A13522"/>
    <w:rsid w:val="00A135B5"/>
    <w:rsid w:val="00A13BA2"/>
    <w:rsid w:val="00A14163"/>
    <w:rsid w:val="00A16718"/>
    <w:rsid w:val="00A17884"/>
    <w:rsid w:val="00A20C80"/>
    <w:rsid w:val="00A245DC"/>
    <w:rsid w:val="00A24B75"/>
    <w:rsid w:val="00A3154B"/>
    <w:rsid w:val="00A3155A"/>
    <w:rsid w:val="00A3205C"/>
    <w:rsid w:val="00A344A4"/>
    <w:rsid w:val="00A347EA"/>
    <w:rsid w:val="00A3513D"/>
    <w:rsid w:val="00A36187"/>
    <w:rsid w:val="00A36C17"/>
    <w:rsid w:val="00A37ABD"/>
    <w:rsid w:val="00A4008C"/>
    <w:rsid w:val="00A45C68"/>
    <w:rsid w:val="00A47728"/>
    <w:rsid w:val="00A5017F"/>
    <w:rsid w:val="00A507F2"/>
    <w:rsid w:val="00A50833"/>
    <w:rsid w:val="00A5097E"/>
    <w:rsid w:val="00A51FE6"/>
    <w:rsid w:val="00A523A5"/>
    <w:rsid w:val="00A52E0C"/>
    <w:rsid w:val="00A53C0C"/>
    <w:rsid w:val="00A53EF8"/>
    <w:rsid w:val="00A54CE5"/>
    <w:rsid w:val="00A55341"/>
    <w:rsid w:val="00A56493"/>
    <w:rsid w:val="00A56DEA"/>
    <w:rsid w:val="00A60143"/>
    <w:rsid w:val="00A60185"/>
    <w:rsid w:val="00A62663"/>
    <w:rsid w:val="00A636B5"/>
    <w:rsid w:val="00A66C43"/>
    <w:rsid w:val="00A70315"/>
    <w:rsid w:val="00A7071C"/>
    <w:rsid w:val="00A73F2C"/>
    <w:rsid w:val="00A7454B"/>
    <w:rsid w:val="00A75759"/>
    <w:rsid w:val="00A75F91"/>
    <w:rsid w:val="00A775FC"/>
    <w:rsid w:val="00A77CD6"/>
    <w:rsid w:val="00A816E6"/>
    <w:rsid w:val="00A832A0"/>
    <w:rsid w:val="00A83B4F"/>
    <w:rsid w:val="00A84C95"/>
    <w:rsid w:val="00A865A5"/>
    <w:rsid w:val="00A91A36"/>
    <w:rsid w:val="00A93002"/>
    <w:rsid w:val="00A94D1B"/>
    <w:rsid w:val="00A95520"/>
    <w:rsid w:val="00A9553B"/>
    <w:rsid w:val="00A97915"/>
    <w:rsid w:val="00AA3ED6"/>
    <w:rsid w:val="00AA46F4"/>
    <w:rsid w:val="00AA47F1"/>
    <w:rsid w:val="00AA66A5"/>
    <w:rsid w:val="00AB17FC"/>
    <w:rsid w:val="00AB1FEE"/>
    <w:rsid w:val="00AB24DF"/>
    <w:rsid w:val="00AB346E"/>
    <w:rsid w:val="00AB4362"/>
    <w:rsid w:val="00AB4B76"/>
    <w:rsid w:val="00AB4DE2"/>
    <w:rsid w:val="00AB61CE"/>
    <w:rsid w:val="00AB6613"/>
    <w:rsid w:val="00AB6D1B"/>
    <w:rsid w:val="00AC312F"/>
    <w:rsid w:val="00AC428B"/>
    <w:rsid w:val="00AC43F3"/>
    <w:rsid w:val="00AC4C16"/>
    <w:rsid w:val="00AC4D31"/>
    <w:rsid w:val="00AC4E3D"/>
    <w:rsid w:val="00AC6BE4"/>
    <w:rsid w:val="00AD0AF0"/>
    <w:rsid w:val="00AD1A34"/>
    <w:rsid w:val="00AD1B43"/>
    <w:rsid w:val="00AD3B4B"/>
    <w:rsid w:val="00AD4377"/>
    <w:rsid w:val="00AD507C"/>
    <w:rsid w:val="00AD6533"/>
    <w:rsid w:val="00AE1FF7"/>
    <w:rsid w:val="00AE239B"/>
    <w:rsid w:val="00AE297B"/>
    <w:rsid w:val="00AE3005"/>
    <w:rsid w:val="00AE4309"/>
    <w:rsid w:val="00AE4DAF"/>
    <w:rsid w:val="00AF0C28"/>
    <w:rsid w:val="00AF1BA8"/>
    <w:rsid w:val="00AF23F3"/>
    <w:rsid w:val="00AF2524"/>
    <w:rsid w:val="00AF7664"/>
    <w:rsid w:val="00AF7740"/>
    <w:rsid w:val="00B01BF4"/>
    <w:rsid w:val="00B024B0"/>
    <w:rsid w:val="00B02819"/>
    <w:rsid w:val="00B042EC"/>
    <w:rsid w:val="00B04A93"/>
    <w:rsid w:val="00B04EF4"/>
    <w:rsid w:val="00B05D00"/>
    <w:rsid w:val="00B106D9"/>
    <w:rsid w:val="00B1128D"/>
    <w:rsid w:val="00B11C4F"/>
    <w:rsid w:val="00B11D7B"/>
    <w:rsid w:val="00B12597"/>
    <w:rsid w:val="00B138BE"/>
    <w:rsid w:val="00B14049"/>
    <w:rsid w:val="00B14B4D"/>
    <w:rsid w:val="00B2092E"/>
    <w:rsid w:val="00B2096C"/>
    <w:rsid w:val="00B22D0F"/>
    <w:rsid w:val="00B230FC"/>
    <w:rsid w:val="00B23DF5"/>
    <w:rsid w:val="00B250E0"/>
    <w:rsid w:val="00B25AF7"/>
    <w:rsid w:val="00B26A00"/>
    <w:rsid w:val="00B309B0"/>
    <w:rsid w:val="00B30C73"/>
    <w:rsid w:val="00B316B5"/>
    <w:rsid w:val="00B318F7"/>
    <w:rsid w:val="00B321CA"/>
    <w:rsid w:val="00B32D3D"/>
    <w:rsid w:val="00B337A5"/>
    <w:rsid w:val="00B346CB"/>
    <w:rsid w:val="00B400B1"/>
    <w:rsid w:val="00B410E8"/>
    <w:rsid w:val="00B4185B"/>
    <w:rsid w:val="00B41BFE"/>
    <w:rsid w:val="00B4439C"/>
    <w:rsid w:val="00B444AC"/>
    <w:rsid w:val="00B451F2"/>
    <w:rsid w:val="00B46343"/>
    <w:rsid w:val="00B4757A"/>
    <w:rsid w:val="00B51D1F"/>
    <w:rsid w:val="00B55541"/>
    <w:rsid w:val="00B557BB"/>
    <w:rsid w:val="00B60B3E"/>
    <w:rsid w:val="00B625D1"/>
    <w:rsid w:val="00B63E19"/>
    <w:rsid w:val="00B64FD7"/>
    <w:rsid w:val="00B666CE"/>
    <w:rsid w:val="00B66B76"/>
    <w:rsid w:val="00B7072B"/>
    <w:rsid w:val="00B7270E"/>
    <w:rsid w:val="00B75700"/>
    <w:rsid w:val="00B76559"/>
    <w:rsid w:val="00B84F87"/>
    <w:rsid w:val="00B90379"/>
    <w:rsid w:val="00B9075E"/>
    <w:rsid w:val="00B91ED3"/>
    <w:rsid w:val="00B92F12"/>
    <w:rsid w:val="00B93463"/>
    <w:rsid w:val="00B95380"/>
    <w:rsid w:val="00B9569B"/>
    <w:rsid w:val="00B95743"/>
    <w:rsid w:val="00B9788A"/>
    <w:rsid w:val="00B97C0B"/>
    <w:rsid w:val="00BA136D"/>
    <w:rsid w:val="00BA3909"/>
    <w:rsid w:val="00BA46BC"/>
    <w:rsid w:val="00BA479A"/>
    <w:rsid w:val="00BA5095"/>
    <w:rsid w:val="00BA6D63"/>
    <w:rsid w:val="00BB1D2A"/>
    <w:rsid w:val="00BB3F21"/>
    <w:rsid w:val="00BB5AA2"/>
    <w:rsid w:val="00BB69B9"/>
    <w:rsid w:val="00BB7EF6"/>
    <w:rsid w:val="00BC1405"/>
    <w:rsid w:val="00BC1DB5"/>
    <w:rsid w:val="00BC31F0"/>
    <w:rsid w:val="00BC4F36"/>
    <w:rsid w:val="00BC56AC"/>
    <w:rsid w:val="00BC61DA"/>
    <w:rsid w:val="00BC6496"/>
    <w:rsid w:val="00BC7ABD"/>
    <w:rsid w:val="00BD0C77"/>
    <w:rsid w:val="00BD0CDF"/>
    <w:rsid w:val="00BD30E3"/>
    <w:rsid w:val="00BD37A7"/>
    <w:rsid w:val="00BD39B5"/>
    <w:rsid w:val="00BD39BF"/>
    <w:rsid w:val="00BD495E"/>
    <w:rsid w:val="00BD5594"/>
    <w:rsid w:val="00BD56F0"/>
    <w:rsid w:val="00BD5F5C"/>
    <w:rsid w:val="00BD7495"/>
    <w:rsid w:val="00BE041F"/>
    <w:rsid w:val="00BE15B0"/>
    <w:rsid w:val="00BE26A1"/>
    <w:rsid w:val="00BE3650"/>
    <w:rsid w:val="00BE399F"/>
    <w:rsid w:val="00BE444D"/>
    <w:rsid w:val="00BE498E"/>
    <w:rsid w:val="00BE4C97"/>
    <w:rsid w:val="00BE6579"/>
    <w:rsid w:val="00BE6C5A"/>
    <w:rsid w:val="00BF2B1D"/>
    <w:rsid w:val="00BF4D2F"/>
    <w:rsid w:val="00BF4EEF"/>
    <w:rsid w:val="00BF50CD"/>
    <w:rsid w:val="00BF6033"/>
    <w:rsid w:val="00BF7155"/>
    <w:rsid w:val="00C006C3"/>
    <w:rsid w:val="00C01EA6"/>
    <w:rsid w:val="00C03B0F"/>
    <w:rsid w:val="00C05B38"/>
    <w:rsid w:val="00C077D4"/>
    <w:rsid w:val="00C07B5A"/>
    <w:rsid w:val="00C11406"/>
    <w:rsid w:val="00C1296B"/>
    <w:rsid w:val="00C1350E"/>
    <w:rsid w:val="00C135BF"/>
    <w:rsid w:val="00C14104"/>
    <w:rsid w:val="00C14302"/>
    <w:rsid w:val="00C157A2"/>
    <w:rsid w:val="00C21C31"/>
    <w:rsid w:val="00C2302A"/>
    <w:rsid w:val="00C23B0B"/>
    <w:rsid w:val="00C24A92"/>
    <w:rsid w:val="00C252B6"/>
    <w:rsid w:val="00C25B37"/>
    <w:rsid w:val="00C27477"/>
    <w:rsid w:val="00C27EBE"/>
    <w:rsid w:val="00C32478"/>
    <w:rsid w:val="00C34414"/>
    <w:rsid w:val="00C34990"/>
    <w:rsid w:val="00C3637B"/>
    <w:rsid w:val="00C36411"/>
    <w:rsid w:val="00C36542"/>
    <w:rsid w:val="00C3799D"/>
    <w:rsid w:val="00C429B8"/>
    <w:rsid w:val="00C446B5"/>
    <w:rsid w:val="00C45080"/>
    <w:rsid w:val="00C5174B"/>
    <w:rsid w:val="00C51BD7"/>
    <w:rsid w:val="00C52875"/>
    <w:rsid w:val="00C53BCD"/>
    <w:rsid w:val="00C549D9"/>
    <w:rsid w:val="00C564FC"/>
    <w:rsid w:val="00C613C8"/>
    <w:rsid w:val="00C63323"/>
    <w:rsid w:val="00C65978"/>
    <w:rsid w:val="00C6673C"/>
    <w:rsid w:val="00C66897"/>
    <w:rsid w:val="00C66A5B"/>
    <w:rsid w:val="00C67E8C"/>
    <w:rsid w:val="00C71514"/>
    <w:rsid w:val="00C7223D"/>
    <w:rsid w:val="00C723DD"/>
    <w:rsid w:val="00C72983"/>
    <w:rsid w:val="00C72E68"/>
    <w:rsid w:val="00C73929"/>
    <w:rsid w:val="00C756C0"/>
    <w:rsid w:val="00C762DD"/>
    <w:rsid w:val="00C765A2"/>
    <w:rsid w:val="00C807D5"/>
    <w:rsid w:val="00C81103"/>
    <w:rsid w:val="00C81A66"/>
    <w:rsid w:val="00C82451"/>
    <w:rsid w:val="00C82CCF"/>
    <w:rsid w:val="00C853C7"/>
    <w:rsid w:val="00C87099"/>
    <w:rsid w:val="00C87291"/>
    <w:rsid w:val="00C90230"/>
    <w:rsid w:val="00C91B59"/>
    <w:rsid w:val="00C931B4"/>
    <w:rsid w:val="00C95B31"/>
    <w:rsid w:val="00C95E5B"/>
    <w:rsid w:val="00C97352"/>
    <w:rsid w:val="00CA0318"/>
    <w:rsid w:val="00CA2FC6"/>
    <w:rsid w:val="00CA3660"/>
    <w:rsid w:val="00CA422C"/>
    <w:rsid w:val="00CA50F7"/>
    <w:rsid w:val="00CA64AA"/>
    <w:rsid w:val="00CA7ED5"/>
    <w:rsid w:val="00CB0F9C"/>
    <w:rsid w:val="00CB26A5"/>
    <w:rsid w:val="00CB4248"/>
    <w:rsid w:val="00CB4D89"/>
    <w:rsid w:val="00CC1987"/>
    <w:rsid w:val="00CC21DD"/>
    <w:rsid w:val="00CC34E3"/>
    <w:rsid w:val="00CC364C"/>
    <w:rsid w:val="00CC3866"/>
    <w:rsid w:val="00CC556C"/>
    <w:rsid w:val="00CC575E"/>
    <w:rsid w:val="00CC5CE8"/>
    <w:rsid w:val="00CD0D5D"/>
    <w:rsid w:val="00CD1EE1"/>
    <w:rsid w:val="00CD3DC9"/>
    <w:rsid w:val="00CD3F3C"/>
    <w:rsid w:val="00CE0966"/>
    <w:rsid w:val="00CE0B9B"/>
    <w:rsid w:val="00CE27FC"/>
    <w:rsid w:val="00CE36B3"/>
    <w:rsid w:val="00CE724F"/>
    <w:rsid w:val="00CF08E1"/>
    <w:rsid w:val="00CF0D90"/>
    <w:rsid w:val="00CF1A3E"/>
    <w:rsid w:val="00CF2DFC"/>
    <w:rsid w:val="00CF3608"/>
    <w:rsid w:val="00CF5FF6"/>
    <w:rsid w:val="00CF6186"/>
    <w:rsid w:val="00CF6311"/>
    <w:rsid w:val="00CF70BF"/>
    <w:rsid w:val="00D00B2C"/>
    <w:rsid w:val="00D07668"/>
    <w:rsid w:val="00D10207"/>
    <w:rsid w:val="00D11708"/>
    <w:rsid w:val="00D11859"/>
    <w:rsid w:val="00D15EDA"/>
    <w:rsid w:val="00D16FAD"/>
    <w:rsid w:val="00D200E0"/>
    <w:rsid w:val="00D21653"/>
    <w:rsid w:val="00D21FBB"/>
    <w:rsid w:val="00D23C6D"/>
    <w:rsid w:val="00D2509C"/>
    <w:rsid w:val="00D26C90"/>
    <w:rsid w:val="00D3232D"/>
    <w:rsid w:val="00D32F85"/>
    <w:rsid w:val="00D333F6"/>
    <w:rsid w:val="00D37AE3"/>
    <w:rsid w:val="00D40D74"/>
    <w:rsid w:val="00D41371"/>
    <w:rsid w:val="00D433AB"/>
    <w:rsid w:val="00D44744"/>
    <w:rsid w:val="00D454EF"/>
    <w:rsid w:val="00D4633D"/>
    <w:rsid w:val="00D4764D"/>
    <w:rsid w:val="00D51AA3"/>
    <w:rsid w:val="00D51B5A"/>
    <w:rsid w:val="00D522EB"/>
    <w:rsid w:val="00D52661"/>
    <w:rsid w:val="00D531D4"/>
    <w:rsid w:val="00D53392"/>
    <w:rsid w:val="00D53E41"/>
    <w:rsid w:val="00D56E6F"/>
    <w:rsid w:val="00D605F9"/>
    <w:rsid w:val="00D63DE7"/>
    <w:rsid w:val="00D67F8A"/>
    <w:rsid w:val="00D7145E"/>
    <w:rsid w:val="00D725BD"/>
    <w:rsid w:val="00D738F6"/>
    <w:rsid w:val="00D76218"/>
    <w:rsid w:val="00D76EBE"/>
    <w:rsid w:val="00D77640"/>
    <w:rsid w:val="00D7778D"/>
    <w:rsid w:val="00D77D54"/>
    <w:rsid w:val="00D80483"/>
    <w:rsid w:val="00D816D5"/>
    <w:rsid w:val="00D81C25"/>
    <w:rsid w:val="00D83AF2"/>
    <w:rsid w:val="00D84EF5"/>
    <w:rsid w:val="00D85534"/>
    <w:rsid w:val="00D85BBA"/>
    <w:rsid w:val="00D943D6"/>
    <w:rsid w:val="00D94A98"/>
    <w:rsid w:val="00D94FFD"/>
    <w:rsid w:val="00D95B9B"/>
    <w:rsid w:val="00D9752A"/>
    <w:rsid w:val="00DA11BE"/>
    <w:rsid w:val="00DA2F3E"/>
    <w:rsid w:val="00DA4954"/>
    <w:rsid w:val="00DA67AD"/>
    <w:rsid w:val="00DB0EAA"/>
    <w:rsid w:val="00DB0F1E"/>
    <w:rsid w:val="00DB1A39"/>
    <w:rsid w:val="00DB2B4E"/>
    <w:rsid w:val="00DB4078"/>
    <w:rsid w:val="00DB55ED"/>
    <w:rsid w:val="00DC00C2"/>
    <w:rsid w:val="00DC1179"/>
    <w:rsid w:val="00DC431C"/>
    <w:rsid w:val="00DC4CCD"/>
    <w:rsid w:val="00DC5DAE"/>
    <w:rsid w:val="00DC5F83"/>
    <w:rsid w:val="00DC69DE"/>
    <w:rsid w:val="00DC7059"/>
    <w:rsid w:val="00DC7925"/>
    <w:rsid w:val="00DD1AA2"/>
    <w:rsid w:val="00DD1D44"/>
    <w:rsid w:val="00DD258E"/>
    <w:rsid w:val="00DD2986"/>
    <w:rsid w:val="00DD36AF"/>
    <w:rsid w:val="00DD6C84"/>
    <w:rsid w:val="00DE2363"/>
    <w:rsid w:val="00DE2D4E"/>
    <w:rsid w:val="00DE3CEE"/>
    <w:rsid w:val="00DE4A79"/>
    <w:rsid w:val="00DE4BCF"/>
    <w:rsid w:val="00DE7014"/>
    <w:rsid w:val="00DF0331"/>
    <w:rsid w:val="00DF0ED2"/>
    <w:rsid w:val="00DF3D56"/>
    <w:rsid w:val="00DF467B"/>
    <w:rsid w:val="00DF48EC"/>
    <w:rsid w:val="00DF50CF"/>
    <w:rsid w:val="00DF6510"/>
    <w:rsid w:val="00DF7F14"/>
    <w:rsid w:val="00E00021"/>
    <w:rsid w:val="00E01467"/>
    <w:rsid w:val="00E04E62"/>
    <w:rsid w:val="00E05106"/>
    <w:rsid w:val="00E058CE"/>
    <w:rsid w:val="00E05987"/>
    <w:rsid w:val="00E06438"/>
    <w:rsid w:val="00E06AEF"/>
    <w:rsid w:val="00E06C5F"/>
    <w:rsid w:val="00E06F7B"/>
    <w:rsid w:val="00E10C8C"/>
    <w:rsid w:val="00E11035"/>
    <w:rsid w:val="00E1192B"/>
    <w:rsid w:val="00E12640"/>
    <w:rsid w:val="00E12822"/>
    <w:rsid w:val="00E12887"/>
    <w:rsid w:val="00E13158"/>
    <w:rsid w:val="00E148B7"/>
    <w:rsid w:val="00E1513A"/>
    <w:rsid w:val="00E152B8"/>
    <w:rsid w:val="00E154DE"/>
    <w:rsid w:val="00E159BF"/>
    <w:rsid w:val="00E1797A"/>
    <w:rsid w:val="00E2169B"/>
    <w:rsid w:val="00E248DA"/>
    <w:rsid w:val="00E25991"/>
    <w:rsid w:val="00E26C85"/>
    <w:rsid w:val="00E31C83"/>
    <w:rsid w:val="00E356C6"/>
    <w:rsid w:val="00E36971"/>
    <w:rsid w:val="00E40AA4"/>
    <w:rsid w:val="00E40DE3"/>
    <w:rsid w:val="00E43E6D"/>
    <w:rsid w:val="00E44425"/>
    <w:rsid w:val="00E449BB"/>
    <w:rsid w:val="00E4539F"/>
    <w:rsid w:val="00E45D78"/>
    <w:rsid w:val="00E4769B"/>
    <w:rsid w:val="00E47784"/>
    <w:rsid w:val="00E47792"/>
    <w:rsid w:val="00E51378"/>
    <w:rsid w:val="00E51DB7"/>
    <w:rsid w:val="00E51E91"/>
    <w:rsid w:val="00E52A5A"/>
    <w:rsid w:val="00E55C71"/>
    <w:rsid w:val="00E55CFF"/>
    <w:rsid w:val="00E56E8D"/>
    <w:rsid w:val="00E575A4"/>
    <w:rsid w:val="00E57F5E"/>
    <w:rsid w:val="00E60210"/>
    <w:rsid w:val="00E61C1B"/>
    <w:rsid w:val="00E65A78"/>
    <w:rsid w:val="00E668A1"/>
    <w:rsid w:val="00E67F4E"/>
    <w:rsid w:val="00E70B47"/>
    <w:rsid w:val="00E72541"/>
    <w:rsid w:val="00E72D4D"/>
    <w:rsid w:val="00E751EF"/>
    <w:rsid w:val="00E76E4E"/>
    <w:rsid w:val="00E7751F"/>
    <w:rsid w:val="00E8069C"/>
    <w:rsid w:val="00E806E5"/>
    <w:rsid w:val="00E81329"/>
    <w:rsid w:val="00E83A01"/>
    <w:rsid w:val="00E846BE"/>
    <w:rsid w:val="00E848FE"/>
    <w:rsid w:val="00E85F39"/>
    <w:rsid w:val="00E9056B"/>
    <w:rsid w:val="00E9170B"/>
    <w:rsid w:val="00E925EB"/>
    <w:rsid w:val="00E94D0D"/>
    <w:rsid w:val="00E95343"/>
    <w:rsid w:val="00E97333"/>
    <w:rsid w:val="00EA053E"/>
    <w:rsid w:val="00EA261C"/>
    <w:rsid w:val="00EA3ACF"/>
    <w:rsid w:val="00EA3BA8"/>
    <w:rsid w:val="00EA44BB"/>
    <w:rsid w:val="00EA4F9E"/>
    <w:rsid w:val="00EA50B0"/>
    <w:rsid w:val="00EA62D1"/>
    <w:rsid w:val="00EA6DC8"/>
    <w:rsid w:val="00EB092F"/>
    <w:rsid w:val="00EB0A4A"/>
    <w:rsid w:val="00EB34BA"/>
    <w:rsid w:val="00EB3C83"/>
    <w:rsid w:val="00EB6D1F"/>
    <w:rsid w:val="00EB77B2"/>
    <w:rsid w:val="00EB7C66"/>
    <w:rsid w:val="00EB7D2B"/>
    <w:rsid w:val="00EC12D4"/>
    <w:rsid w:val="00EC6F6C"/>
    <w:rsid w:val="00ED05DA"/>
    <w:rsid w:val="00ED0BC1"/>
    <w:rsid w:val="00ED0D94"/>
    <w:rsid w:val="00ED28CD"/>
    <w:rsid w:val="00ED5006"/>
    <w:rsid w:val="00ED58A5"/>
    <w:rsid w:val="00ED6FA2"/>
    <w:rsid w:val="00EE1831"/>
    <w:rsid w:val="00EE1D8A"/>
    <w:rsid w:val="00EE31F9"/>
    <w:rsid w:val="00EE4683"/>
    <w:rsid w:val="00EE4F12"/>
    <w:rsid w:val="00EE50B3"/>
    <w:rsid w:val="00EE532A"/>
    <w:rsid w:val="00EE67FD"/>
    <w:rsid w:val="00EE6AD3"/>
    <w:rsid w:val="00EE7947"/>
    <w:rsid w:val="00EF027B"/>
    <w:rsid w:val="00EF02CC"/>
    <w:rsid w:val="00EF1B11"/>
    <w:rsid w:val="00EF1D9F"/>
    <w:rsid w:val="00EF2416"/>
    <w:rsid w:val="00EF3BDD"/>
    <w:rsid w:val="00EF40AC"/>
    <w:rsid w:val="00EF56A9"/>
    <w:rsid w:val="00F00E42"/>
    <w:rsid w:val="00F02BC1"/>
    <w:rsid w:val="00F04DBA"/>
    <w:rsid w:val="00F04E50"/>
    <w:rsid w:val="00F06F63"/>
    <w:rsid w:val="00F10E0D"/>
    <w:rsid w:val="00F14A5F"/>
    <w:rsid w:val="00F16700"/>
    <w:rsid w:val="00F17D68"/>
    <w:rsid w:val="00F212AF"/>
    <w:rsid w:val="00F2197E"/>
    <w:rsid w:val="00F22768"/>
    <w:rsid w:val="00F25944"/>
    <w:rsid w:val="00F26B5F"/>
    <w:rsid w:val="00F26B7A"/>
    <w:rsid w:val="00F273FF"/>
    <w:rsid w:val="00F27CAE"/>
    <w:rsid w:val="00F3043E"/>
    <w:rsid w:val="00F31427"/>
    <w:rsid w:val="00F31B28"/>
    <w:rsid w:val="00F31B92"/>
    <w:rsid w:val="00F32547"/>
    <w:rsid w:val="00F3319D"/>
    <w:rsid w:val="00F33757"/>
    <w:rsid w:val="00F346D1"/>
    <w:rsid w:val="00F4041B"/>
    <w:rsid w:val="00F415C7"/>
    <w:rsid w:val="00F428DA"/>
    <w:rsid w:val="00F42E69"/>
    <w:rsid w:val="00F431E3"/>
    <w:rsid w:val="00F454E3"/>
    <w:rsid w:val="00F46492"/>
    <w:rsid w:val="00F4791E"/>
    <w:rsid w:val="00F5005F"/>
    <w:rsid w:val="00F500EE"/>
    <w:rsid w:val="00F51D97"/>
    <w:rsid w:val="00F51E9D"/>
    <w:rsid w:val="00F53504"/>
    <w:rsid w:val="00F55061"/>
    <w:rsid w:val="00F57C7A"/>
    <w:rsid w:val="00F6102A"/>
    <w:rsid w:val="00F613B2"/>
    <w:rsid w:val="00F62EC9"/>
    <w:rsid w:val="00F64980"/>
    <w:rsid w:val="00F64E51"/>
    <w:rsid w:val="00F6692B"/>
    <w:rsid w:val="00F704F6"/>
    <w:rsid w:val="00F72025"/>
    <w:rsid w:val="00F7207D"/>
    <w:rsid w:val="00F72CC7"/>
    <w:rsid w:val="00F742DB"/>
    <w:rsid w:val="00F742F7"/>
    <w:rsid w:val="00F772D3"/>
    <w:rsid w:val="00F80006"/>
    <w:rsid w:val="00F80B08"/>
    <w:rsid w:val="00F80D22"/>
    <w:rsid w:val="00F82882"/>
    <w:rsid w:val="00F86478"/>
    <w:rsid w:val="00F8729B"/>
    <w:rsid w:val="00F906C3"/>
    <w:rsid w:val="00F90700"/>
    <w:rsid w:val="00F91600"/>
    <w:rsid w:val="00F9337D"/>
    <w:rsid w:val="00F938E3"/>
    <w:rsid w:val="00F94DFD"/>
    <w:rsid w:val="00F954D6"/>
    <w:rsid w:val="00F969B1"/>
    <w:rsid w:val="00F9723F"/>
    <w:rsid w:val="00FA0A63"/>
    <w:rsid w:val="00FA3D2A"/>
    <w:rsid w:val="00FA4E26"/>
    <w:rsid w:val="00FB037F"/>
    <w:rsid w:val="00FB3917"/>
    <w:rsid w:val="00FB5D68"/>
    <w:rsid w:val="00FB6205"/>
    <w:rsid w:val="00FB6F11"/>
    <w:rsid w:val="00FB71E0"/>
    <w:rsid w:val="00FB7BEB"/>
    <w:rsid w:val="00FC13BE"/>
    <w:rsid w:val="00FC5229"/>
    <w:rsid w:val="00FC57A8"/>
    <w:rsid w:val="00FC640B"/>
    <w:rsid w:val="00FD0B83"/>
    <w:rsid w:val="00FD1550"/>
    <w:rsid w:val="00FD1C4A"/>
    <w:rsid w:val="00FD2CB9"/>
    <w:rsid w:val="00FD30E4"/>
    <w:rsid w:val="00FD64D2"/>
    <w:rsid w:val="00FD74F7"/>
    <w:rsid w:val="00FE0189"/>
    <w:rsid w:val="00FE061B"/>
    <w:rsid w:val="00FE0C63"/>
    <w:rsid w:val="00FE40BC"/>
    <w:rsid w:val="00FE462E"/>
    <w:rsid w:val="00FE58AD"/>
    <w:rsid w:val="00FF012A"/>
    <w:rsid w:val="00FF043E"/>
    <w:rsid w:val="00FF15CC"/>
    <w:rsid w:val="00FF1666"/>
    <w:rsid w:val="00FF1E36"/>
    <w:rsid w:val="00FF32C2"/>
    <w:rsid w:val="00FF4B56"/>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5045F"/>
  <w15:chartTrackingRefBased/>
  <w15:docId w15:val="{4A5C4DBD-E721-429A-9B59-40639F9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7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6"/>
    <w:rPr>
      <w:rFonts w:ascii="Segoe UI" w:hAnsi="Segoe UI" w:cs="Segoe UI"/>
      <w:sz w:val="18"/>
      <w:szCs w:val="18"/>
    </w:rPr>
  </w:style>
  <w:style w:type="character" w:styleId="CommentReference">
    <w:name w:val="annotation reference"/>
    <w:basedOn w:val="DefaultParagraphFont"/>
    <w:uiPriority w:val="99"/>
    <w:semiHidden/>
    <w:unhideWhenUsed/>
    <w:rsid w:val="00AE4309"/>
    <w:rPr>
      <w:sz w:val="16"/>
      <w:szCs w:val="16"/>
    </w:rPr>
  </w:style>
  <w:style w:type="paragraph" w:styleId="CommentText">
    <w:name w:val="annotation text"/>
    <w:basedOn w:val="Normal"/>
    <w:link w:val="CommentTextChar"/>
    <w:uiPriority w:val="99"/>
    <w:semiHidden/>
    <w:unhideWhenUsed/>
    <w:rsid w:val="00AE4309"/>
    <w:pPr>
      <w:spacing w:line="240" w:lineRule="auto"/>
    </w:pPr>
    <w:rPr>
      <w:sz w:val="20"/>
      <w:szCs w:val="20"/>
    </w:rPr>
  </w:style>
  <w:style w:type="character" w:customStyle="1" w:styleId="CommentTextChar">
    <w:name w:val="Comment Text Char"/>
    <w:basedOn w:val="DefaultParagraphFont"/>
    <w:link w:val="CommentText"/>
    <w:uiPriority w:val="99"/>
    <w:semiHidden/>
    <w:rsid w:val="00AE4309"/>
    <w:rPr>
      <w:sz w:val="20"/>
      <w:szCs w:val="20"/>
    </w:rPr>
  </w:style>
  <w:style w:type="paragraph" w:styleId="CommentSubject">
    <w:name w:val="annotation subject"/>
    <w:basedOn w:val="CommentText"/>
    <w:next w:val="CommentText"/>
    <w:link w:val="CommentSubjectChar"/>
    <w:uiPriority w:val="99"/>
    <w:semiHidden/>
    <w:unhideWhenUsed/>
    <w:rsid w:val="00AE4309"/>
    <w:rPr>
      <w:b/>
      <w:bCs/>
    </w:rPr>
  </w:style>
  <w:style w:type="character" w:customStyle="1" w:styleId="CommentSubjectChar">
    <w:name w:val="Comment Subject Char"/>
    <w:basedOn w:val="CommentTextChar"/>
    <w:link w:val="CommentSubject"/>
    <w:uiPriority w:val="99"/>
    <w:semiHidden/>
    <w:rsid w:val="00AE4309"/>
    <w:rPr>
      <w:b/>
      <w:bCs/>
      <w:sz w:val="20"/>
      <w:szCs w:val="20"/>
    </w:rPr>
  </w:style>
  <w:style w:type="paragraph" w:styleId="Header">
    <w:name w:val="header"/>
    <w:basedOn w:val="Normal"/>
    <w:link w:val="HeaderChar"/>
    <w:uiPriority w:val="99"/>
    <w:unhideWhenUsed/>
    <w:rsid w:val="00DE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14"/>
  </w:style>
  <w:style w:type="paragraph" w:styleId="Footer">
    <w:name w:val="footer"/>
    <w:basedOn w:val="Normal"/>
    <w:link w:val="FooterChar"/>
    <w:uiPriority w:val="99"/>
    <w:unhideWhenUsed/>
    <w:rsid w:val="00DE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14"/>
  </w:style>
  <w:style w:type="character" w:styleId="Hyperlink">
    <w:name w:val="Hyperlink"/>
    <w:basedOn w:val="DefaultParagraphFont"/>
    <w:uiPriority w:val="99"/>
    <w:unhideWhenUsed/>
    <w:rsid w:val="00672476"/>
    <w:rPr>
      <w:color w:val="0000FF"/>
      <w:u w:val="single"/>
    </w:rPr>
  </w:style>
  <w:style w:type="table" w:styleId="TableGrid">
    <w:name w:val="Table Grid"/>
    <w:basedOn w:val="TableNormal"/>
    <w:uiPriority w:val="39"/>
    <w:rsid w:val="009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D21"/>
    <w:rPr>
      <w:color w:val="954F72" w:themeColor="followedHyperlink"/>
      <w:u w:val="single"/>
    </w:rPr>
  </w:style>
  <w:style w:type="paragraph" w:styleId="ListParagraph">
    <w:name w:val="List Paragraph"/>
    <w:basedOn w:val="Normal"/>
    <w:uiPriority w:val="34"/>
    <w:qFormat/>
    <w:rsid w:val="00F16700"/>
    <w:pPr>
      <w:spacing w:after="0" w:line="240" w:lineRule="auto"/>
      <w:ind w:left="720"/>
      <w:contextualSpacing/>
    </w:pPr>
    <w:rPr>
      <w:rFonts w:ascii="Arial" w:eastAsia="Times New Roman" w:hAnsi="Arial" w:cs="Times New Roman"/>
      <w:sz w:val="24"/>
      <w:szCs w:val="20"/>
    </w:rPr>
  </w:style>
  <w:style w:type="character" w:customStyle="1" w:styleId="apple-converted-space">
    <w:name w:val="apple-converted-space"/>
    <w:basedOn w:val="DefaultParagraphFont"/>
    <w:rsid w:val="006C7A98"/>
  </w:style>
  <w:style w:type="character" w:styleId="UnresolvedMention">
    <w:name w:val="Unresolved Mention"/>
    <w:basedOn w:val="DefaultParagraphFont"/>
    <w:uiPriority w:val="99"/>
    <w:semiHidden/>
    <w:unhideWhenUsed/>
    <w:rsid w:val="003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38">
      <w:bodyDiv w:val="1"/>
      <w:marLeft w:val="0"/>
      <w:marRight w:val="0"/>
      <w:marTop w:val="0"/>
      <w:marBottom w:val="0"/>
      <w:divBdr>
        <w:top w:val="none" w:sz="0" w:space="0" w:color="auto"/>
        <w:left w:val="none" w:sz="0" w:space="0" w:color="auto"/>
        <w:bottom w:val="none" w:sz="0" w:space="0" w:color="auto"/>
        <w:right w:val="none" w:sz="0" w:space="0" w:color="auto"/>
      </w:divBdr>
    </w:div>
    <w:div w:id="12072772">
      <w:bodyDiv w:val="1"/>
      <w:marLeft w:val="0"/>
      <w:marRight w:val="0"/>
      <w:marTop w:val="0"/>
      <w:marBottom w:val="0"/>
      <w:divBdr>
        <w:top w:val="none" w:sz="0" w:space="0" w:color="auto"/>
        <w:left w:val="none" w:sz="0" w:space="0" w:color="auto"/>
        <w:bottom w:val="none" w:sz="0" w:space="0" w:color="auto"/>
        <w:right w:val="none" w:sz="0" w:space="0" w:color="auto"/>
      </w:divBdr>
    </w:div>
    <w:div w:id="21561480">
      <w:bodyDiv w:val="1"/>
      <w:marLeft w:val="0"/>
      <w:marRight w:val="0"/>
      <w:marTop w:val="0"/>
      <w:marBottom w:val="0"/>
      <w:divBdr>
        <w:top w:val="none" w:sz="0" w:space="0" w:color="auto"/>
        <w:left w:val="none" w:sz="0" w:space="0" w:color="auto"/>
        <w:bottom w:val="none" w:sz="0" w:space="0" w:color="auto"/>
        <w:right w:val="none" w:sz="0" w:space="0" w:color="auto"/>
      </w:divBdr>
    </w:div>
    <w:div w:id="48500290">
      <w:bodyDiv w:val="1"/>
      <w:marLeft w:val="0"/>
      <w:marRight w:val="0"/>
      <w:marTop w:val="0"/>
      <w:marBottom w:val="0"/>
      <w:divBdr>
        <w:top w:val="none" w:sz="0" w:space="0" w:color="auto"/>
        <w:left w:val="none" w:sz="0" w:space="0" w:color="auto"/>
        <w:bottom w:val="none" w:sz="0" w:space="0" w:color="auto"/>
        <w:right w:val="none" w:sz="0" w:space="0" w:color="auto"/>
      </w:divBdr>
    </w:div>
    <w:div w:id="138767811">
      <w:bodyDiv w:val="1"/>
      <w:marLeft w:val="0"/>
      <w:marRight w:val="0"/>
      <w:marTop w:val="0"/>
      <w:marBottom w:val="0"/>
      <w:divBdr>
        <w:top w:val="none" w:sz="0" w:space="0" w:color="auto"/>
        <w:left w:val="none" w:sz="0" w:space="0" w:color="auto"/>
        <w:bottom w:val="none" w:sz="0" w:space="0" w:color="auto"/>
        <w:right w:val="none" w:sz="0" w:space="0" w:color="auto"/>
      </w:divBdr>
    </w:div>
    <w:div w:id="213859439">
      <w:bodyDiv w:val="1"/>
      <w:marLeft w:val="0"/>
      <w:marRight w:val="0"/>
      <w:marTop w:val="0"/>
      <w:marBottom w:val="0"/>
      <w:divBdr>
        <w:top w:val="none" w:sz="0" w:space="0" w:color="auto"/>
        <w:left w:val="none" w:sz="0" w:space="0" w:color="auto"/>
        <w:bottom w:val="none" w:sz="0" w:space="0" w:color="auto"/>
        <w:right w:val="none" w:sz="0" w:space="0" w:color="auto"/>
      </w:divBdr>
    </w:div>
    <w:div w:id="228350100">
      <w:bodyDiv w:val="1"/>
      <w:marLeft w:val="0"/>
      <w:marRight w:val="0"/>
      <w:marTop w:val="0"/>
      <w:marBottom w:val="0"/>
      <w:divBdr>
        <w:top w:val="none" w:sz="0" w:space="0" w:color="auto"/>
        <w:left w:val="none" w:sz="0" w:space="0" w:color="auto"/>
        <w:bottom w:val="none" w:sz="0" w:space="0" w:color="auto"/>
        <w:right w:val="none" w:sz="0" w:space="0" w:color="auto"/>
      </w:divBdr>
    </w:div>
    <w:div w:id="245186264">
      <w:bodyDiv w:val="1"/>
      <w:marLeft w:val="0"/>
      <w:marRight w:val="0"/>
      <w:marTop w:val="0"/>
      <w:marBottom w:val="0"/>
      <w:divBdr>
        <w:top w:val="none" w:sz="0" w:space="0" w:color="auto"/>
        <w:left w:val="none" w:sz="0" w:space="0" w:color="auto"/>
        <w:bottom w:val="none" w:sz="0" w:space="0" w:color="auto"/>
        <w:right w:val="none" w:sz="0" w:space="0" w:color="auto"/>
      </w:divBdr>
    </w:div>
    <w:div w:id="279462428">
      <w:bodyDiv w:val="1"/>
      <w:marLeft w:val="0"/>
      <w:marRight w:val="0"/>
      <w:marTop w:val="0"/>
      <w:marBottom w:val="0"/>
      <w:divBdr>
        <w:top w:val="none" w:sz="0" w:space="0" w:color="auto"/>
        <w:left w:val="none" w:sz="0" w:space="0" w:color="auto"/>
        <w:bottom w:val="none" w:sz="0" w:space="0" w:color="auto"/>
        <w:right w:val="none" w:sz="0" w:space="0" w:color="auto"/>
      </w:divBdr>
    </w:div>
    <w:div w:id="330911746">
      <w:bodyDiv w:val="1"/>
      <w:marLeft w:val="0"/>
      <w:marRight w:val="0"/>
      <w:marTop w:val="0"/>
      <w:marBottom w:val="0"/>
      <w:divBdr>
        <w:top w:val="none" w:sz="0" w:space="0" w:color="auto"/>
        <w:left w:val="none" w:sz="0" w:space="0" w:color="auto"/>
        <w:bottom w:val="none" w:sz="0" w:space="0" w:color="auto"/>
        <w:right w:val="none" w:sz="0" w:space="0" w:color="auto"/>
      </w:divBdr>
    </w:div>
    <w:div w:id="359359941">
      <w:bodyDiv w:val="1"/>
      <w:marLeft w:val="0"/>
      <w:marRight w:val="0"/>
      <w:marTop w:val="0"/>
      <w:marBottom w:val="0"/>
      <w:divBdr>
        <w:top w:val="none" w:sz="0" w:space="0" w:color="auto"/>
        <w:left w:val="none" w:sz="0" w:space="0" w:color="auto"/>
        <w:bottom w:val="none" w:sz="0" w:space="0" w:color="auto"/>
        <w:right w:val="none" w:sz="0" w:space="0" w:color="auto"/>
      </w:divBdr>
    </w:div>
    <w:div w:id="403793598">
      <w:bodyDiv w:val="1"/>
      <w:marLeft w:val="0"/>
      <w:marRight w:val="0"/>
      <w:marTop w:val="0"/>
      <w:marBottom w:val="0"/>
      <w:divBdr>
        <w:top w:val="none" w:sz="0" w:space="0" w:color="auto"/>
        <w:left w:val="none" w:sz="0" w:space="0" w:color="auto"/>
        <w:bottom w:val="none" w:sz="0" w:space="0" w:color="auto"/>
        <w:right w:val="none" w:sz="0" w:space="0" w:color="auto"/>
      </w:divBdr>
    </w:div>
    <w:div w:id="438111266">
      <w:bodyDiv w:val="1"/>
      <w:marLeft w:val="0"/>
      <w:marRight w:val="0"/>
      <w:marTop w:val="0"/>
      <w:marBottom w:val="0"/>
      <w:divBdr>
        <w:top w:val="none" w:sz="0" w:space="0" w:color="auto"/>
        <w:left w:val="none" w:sz="0" w:space="0" w:color="auto"/>
        <w:bottom w:val="none" w:sz="0" w:space="0" w:color="auto"/>
        <w:right w:val="none" w:sz="0" w:space="0" w:color="auto"/>
      </w:divBdr>
    </w:div>
    <w:div w:id="452091766">
      <w:bodyDiv w:val="1"/>
      <w:marLeft w:val="0"/>
      <w:marRight w:val="0"/>
      <w:marTop w:val="0"/>
      <w:marBottom w:val="0"/>
      <w:divBdr>
        <w:top w:val="none" w:sz="0" w:space="0" w:color="auto"/>
        <w:left w:val="none" w:sz="0" w:space="0" w:color="auto"/>
        <w:bottom w:val="none" w:sz="0" w:space="0" w:color="auto"/>
        <w:right w:val="none" w:sz="0" w:space="0" w:color="auto"/>
      </w:divBdr>
    </w:div>
    <w:div w:id="485516050">
      <w:bodyDiv w:val="1"/>
      <w:marLeft w:val="0"/>
      <w:marRight w:val="0"/>
      <w:marTop w:val="0"/>
      <w:marBottom w:val="0"/>
      <w:divBdr>
        <w:top w:val="none" w:sz="0" w:space="0" w:color="auto"/>
        <w:left w:val="none" w:sz="0" w:space="0" w:color="auto"/>
        <w:bottom w:val="none" w:sz="0" w:space="0" w:color="auto"/>
        <w:right w:val="none" w:sz="0" w:space="0" w:color="auto"/>
      </w:divBdr>
    </w:div>
    <w:div w:id="502284209">
      <w:bodyDiv w:val="1"/>
      <w:marLeft w:val="0"/>
      <w:marRight w:val="0"/>
      <w:marTop w:val="0"/>
      <w:marBottom w:val="0"/>
      <w:divBdr>
        <w:top w:val="none" w:sz="0" w:space="0" w:color="auto"/>
        <w:left w:val="none" w:sz="0" w:space="0" w:color="auto"/>
        <w:bottom w:val="none" w:sz="0" w:space="0" w:color="auto"/>
        <w:right w:val="none" w:sz="0" w:space="0" w:color="auto"/>
      </w:divBdr>
    </w:div>
    <w:div w:id="596913210">
      <w:bodyDiv w:val="1"/>
      <w:marLeft w:val="0"/>
      <w:marRight w:val="0"/>
      <w:marTop w:val="0"/>
      <w:marBottom w:val="0"/>
      <w:divBdr>
        <w:top w:val="none" w:sz="0" w:space="0" w:color="auto"/>
        <w:left w:val="none" w:sz="0" w:space="0" w:color="auto"/>
        <w:bottom w:val="none" w:sz="0" w:space="0" w:color="auto"/>
        <w:right w:val="none" w:sz="0" w:space="0" w:color="auto"/>
      </w:divBdr>
    </w:div>
    <w:div w:id="599289949">
      <w:bodyDiv w:val="1"/>
      <w:marLeft w:val="0"/>
      <w:marRight w:val="0"/>
      <w:marTop w:val="0"/>
      <w:marBottom w:val="0"/>
      <w:divBdr>
        <w:top w:val="none" w:sz="0" w:space="0" w:color="auto"/>
        <w:left w:val="none" w:sz="0" w:space="0" w:color="auto"/>
        <w:bottom w:val="none" w:sz="0" w:space="0" w:color="auto"/>
        <w:right w:val="none" w:sz="0" w:space="0" w:color="auto"/>
      </w:divBdr>
    </w:div>
    <w:div w:id="600799799">
      <w:bodyDiv w:val="1"/>
      <w:marLeft w:val="0"/>
      <w:marRight w:val="0"/>
      <w:marTop w:val="0"/>
      <w:marBottom w:val="0"/>
      <w:divBdr>
        <w:top w:val="none" w:sz="0" w:space="0" w:color="auto"/>
        <w:left w:val="none" w:sz="0" w:space="0" w:color="auto"/>
        <w:bottom w:val="none" w:sz="0" w:space="0" w:color="auto"/>
        <w:right w:val="none" w:sz="0" w:space="0" w:color="auto"/>
      </w:divBdr>
    </w:div>
    <w:div w:id="602806693">
      <w:bodyDiv w:val="1"/>
      <w:marLeft w:val="0"/>
      <w:marRight w:val="0"/>
      <w:marTop w:val="0"/>
      <w:marBottom w:val="0"/>
      <w:divBdr>
        <w:top w:val="none" w:sz="0" w:space="0" w:color="auto"/>
        <w:left w:val="none" w:sz="0" w:space="0" w:color="auto"/>
        <w:bottom w:val="none" w:sz="0" w:space="0" w:color="auto"/>
        <w:right w:val="none" w:sz="0" w:space="0" w:color="auto"/>
      </w:divBdr>
    </w:div>
    <w:div w:id="724455022">
      <w:bodyDiv w:val="1"/>
      <w:marLeft w:val="0"/>
      <w:marRight w:val="0"/>
      <w:marTop w:val="0"/>
      <w:marBottom w:val="0"/>
      <w:divBdr>
        <w:top w:val="none" w:sz="0" w:space="0" w:color="auto"/>
        <w:left w:val="none" w:sz="0" w:space="0" w:color="auto"/>
        <w:bottom w:val="none" w:sz="0" w:space="0" w:color="auto"/>
        <w:right w:val="none" w:sz="0" w:space="0" w:color="auto"/>
      </w:divBdr>
    </w:div>
    <w:div w:id="739837947">
      <w:bodyDiv w:val="1"/>
      <w:marLeft w:val="0"/>
      <w:marRight w:val="0"/>
      <w:marTop w:val="0"/>
      <w:marBottom w:val="0"/>
      <w:divBdr>
        <w:top w:val="none" w:sz="0" w:space="0" w:color="auto"/>
        <w:left w:val="none" w:sz="0" w:space="0" w:color="auto"/>
        <w:bottom w:val="none" w:sz="0" w:space="0" w:color="auto"/>
        <w:right w:val="none" w:sz="0" w:space="0" w:color="auto"/>
      </w:divBdr>
    </w:div>
    <w:div w:id="750473232">
      <w:bodyDiv w:val="1"/>
      <w:marLeft w:val="0"/>
      <w:marRight w:val="0"/>
      <w:marTop w:val="0"/>
      <w:marBottom w:val="0"/>
      <w:divBdr>
        <w:top w:val="none" w:sz="0" w:space="0" w:color="auto"/>
        <w:left w:val="none" w:sz="0" w:space="0" w:color="auto"/>
        <w:bottom w:val="none" w:sz="0" w:space="0" w:color="auto"/>
        <w:right w:val="none" w:sz="0" w:space="0" w:color="auto"/>
      </w:divBdr>
    </w:div>
    <w:div w:id="826169899">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899905228">
      <w:bodyDiv w:val="1"/>
      <w:marLeft w:val="0"/>
      <w:marRight w:val="0"/>
      <w:marTop w:val="0"/>
      <w:marBottom w:val="0"/>
      <w:divBdr>
        <w:top w:val="none" w:sz="0" w:space="0" w:color="auto"/>
        <w:left w:val="none" w:sz="0" w:space="0" w:color="auto"/>
        <w:bottom w:val="none" w:sz="0" w:space="0" w:color="auto"/>
        <w:right w:val="none" w:sz="0" w:space="0" w:color="auto"/>
      </w:divBdr>
    </w:div>
    <w:div w:id="910383446">
      <w:bodyDiv w:val="1"/>
      <w:marLeft w:val="0"/>
      <w:marRight w:val="0"/>
      <w:marTop w:val="0"/>
      <w:marBottom w:val="0"/>
      <w:divBdr>
        <w:top w:val="none" w:sz="0" w:space="0" w:color="auto"/>
        <w:left w:val="none" w:sz="0" w:space="0" w:color="auto"/>
        <w:bottom w:val="none" w:sz="0" w:space="0" w:color="auto"/>
        <w:right w:val="none" w:sz="0" w:space="0" w:color="auto"/>
      </w:divBdr>
    </w:div>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1054698634">
      <w:bodyDiv w:val="1"/>
      <w:marLeft w:val="0"/>
      <w:marRight w:val="0"/>
      <w:marTop w:val="0"/>
      <w:marBottom w:val="0"/>
      <w:divBdr>
        <w:top w:val="none" w:sz="0" w:space="0" w:color="auto"/>
        <w:left w:val="none" w:sz="0" w:space="0" w:color="auto"/>
        <w:bottom w:val="none" w:sz="0" w:space="0" w:color="auto"/>
        <w:right w:val="none" w:sz="0" w:space="0" w:color="auto"/>
      </w:divBdr>
    </w:div>
    <w:div w:id="1055550189">
      <w:bodyDiv w:val="1"/>
      <w:marLeft w:val="0"/>
      <w:marRight w:val="0"/>
      <w:marTop w:val="0"/>
      <w:marBottom w:val="0"/>
      <w:divBdr>
        <w:top w:val="none" w:sz="0" w:space="0" w:color="auto"/>
        <w:left w:val="none" w:sz="0" w:space="0" w:color="auto"/>
        <w:bottom w:val="none" w:sz="0" w:space="0" w:color="auto"/>
        <w:right w:val="none" w:sz="0" w:space="0" w:color="auto"/>
      </w:divBdr>
    </w:div>
    <w:div w:id="1163668329">
      <w:bodyDiv w:val="1"/>
      <w:marLeft w:val="0"/>
      <w:marRight w:val="0"/>
      <w:marTop w:val="0"/>
      <w:marBottom w:val="0"/>
      <w:divBdr>
        <w:top w:val="none" w:sz="0" w:space="0" w:color="auto"/>
        <w:left w:val="none" w:sz="0" w:space="0" w:color="auto"/>
        <w:bottom w:val="none" w:sz="0" w:space="0" w:color="auto"/>
        <w:right w:val="none" w:sz="0" w:space="0" w:color="auto"/>
      </w:divBdr>
    </w:div>
    <w:div w:id="1232961064">
      <w:bodyDiv w:val="1"/>
      <w:marLeft w:val="0"/>
      <w:marRight w:val="0"/>
      <w:marTop w:val="0"/>
      <w:marBottom w:val="0"/>
      <w:divBdr>
        <w:top w:val="none" w:sz="0" w:space="0" w:color="auto"/>
        <w:left w:val="none" w:sz="0" w:space="0" w:color="auto"/>
        <w:bottom w:val="none" w:sz="0" w:space="0" w:color="auto"/>
        <w:right w:val="none" w:sz="0" w:space="0" w:color="auto"/>
      </w:divBdr>
    </w:div>
    <w:div w:id="1410614488">
      <w:bodyDiv w:val="1"/>
      <w:marLeft w:val="0"/>
      <w:marRight w:val="0"/>
      <w:marTop w:val="0"/>
      <w:marBottom w:val="0"/>
      <w:divBdr>
        <w:top w:val="none" w:sz="0" w:space="0" w:color="auto"/>
        <w:left w:val="none" w:sz="0" w:space="0" w:color="auto"/>
        <w:bottom w:val="none" w:sz="0" w:space="0" w:color="auto"/>
        <w:right w:val="none" w:sz="0" w:space="0" w:color="auto"/>
      </w:divBdr>
    </w:div>
    <w:div w:id="1501920866">
      <w:bodyDiv w:val="1"/>
      <w:marLeft w:val="0"/>
      <w:marRight w:val="0"/>
      <w:marTop w:val="0"/>
      <w:marBottom w:val="0"/>
      <w:divBdr>
        <w:top w:val="none" w:sz="0" w:space="0" w:color="auto"/>
        <w:left w:val="none" w:sz="0" w:space="0" w:color="auto"/>
        <w:bottom w:val="none" w:sz="0" w:space="0" w:color="auto"/>
        <w:right w:val="none" w:sz="0" w:space="0" w:color="auto"/>
      </w:divBdr>
    </w:div>
    <w:div w:id="1559393623">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1725837723">
      <w:bodyDiv w:val="1"/>
      <w:marLeft w:val="0"/>
      <w:marRight w:val="0"/>
      <w:marTop w:val="0"/>
      <w:marBottom w:val="0"/>
      <w:divBdr>
        <w:top w:val="none" w:sz="0" w:space="0" w:color="auto"/>
        <w:left w:val="none" w:sz="0" w:space="0" w:color="auto"/>
        <w:bottom w:val="none" w:sz="0" w:space="0" w:color="auto"/>
        <w:right w:val="none" w:sz="0" w:space="0" w:color="auto"/>
      </w:divBdr>
    </w:div>
    <w:div w:id="1781559921">
      <w:bodyDiv w:val="1"/>
      <w:marLeft w:val="0"/>
      <w:marRight w:val="0"/>
      <w:marTop w:val="0"/>
      <w:marBottom w:val="0"/>
      <w:divBdr>
        <w:top w:val="none" w:sz="0" w:space="0" w:color="auto"/>
        <w:left w:val="none" w:sz="0" w:space="0" w:color="auto"/>
        <w:bottom w:val="none" w:sz="0" w:space="0" w:color="auto"/>
        <w:right w:val="none" w:sz="0" w:space="0" w:color="auto"/>
      </w:divBdr>
    </w:div>
    <w:div w:id="1789818301">
      <w:bodyDiv w:val="1"/>
      <w:marLeft w:val="0"/>
      <w:marRight w:val="0"/>
      <w:marTop w:val="0"/>
      <w:marBottom w:val="0"/>
      <w:divBdr>
        <w:top w:val="none" w:sz="0" w:space="0" w:color="auto"/>
        <w:left w:val="none" w:sz="0" w:space="0" w:color="auto"/>
        <w:bottom w:val="none" w:sz="0" w:space="0" w:color="auto"/>
        <w:right w:val="none" w:sz="0" w:space="0" w:color="auto"/>
      </w:divBdr>
    </w:div>
    <w:div w:id="1834374842">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95118626">
      <w:bodyDiv w:val="1"/>
      <w:marLeft w:val="0"/>
      <w:marRight w:val="0"/>
      <w:marTop w:val="0"/>
      <w:marBottom w:val="0"/>
      <w:divBdr>
        <w:top w:val="none" w:sz="0" w:space="0" w:color="auto"/>
        <w:left w:val="none" w:sz="0" w:space="0" w:color="auto"/>
        <w:bottom w:val="none" w:sz="0" w:space="0" w:color="auto"/>
        <w:right w:val="none" w:sz="0" w:space="0" w:color="auto"/>
      </w:divBdr>
    </w:div>
    <w:div w:id="1931309686">
      <w:bodyDiv w:val="1"/>
      <w:marLeft w:val="0"/>
      <w:marRight w:val="0"/>
      <w:marTop w:val="0"/>
      <w:marBottom w:val="0"/>
      <w:divBdr>
        <w:top w:val="none" w:sz="0" w:space="0" w:color="auto"/>
        <w:left w:val="none" w:sz="0" w:space="0" w:color="auto"/>
        <w:bottom w:val="none" w:sz="0" w:space="0" w:color="auto"/>
        <w:right w:val="none" w:sz="0" w:space="0" w:color="auto"/>
      </w:divBdr>
    </w:div>
    <w:div w:id="1961955974">
      <w:bodyDiv w:val="1"/>
      <w:marLeft w:val="0"/>
      <w:marRight w:val="0"/>
      <w:marTop w:val="0"/>
      <w:marBottom w:val="0"/>
      <w:divBdr>
        <w:top w:val="none" w:sz="0" w:space="0" w:color="auto"/>
        <w:left w:val="none" w:sz="0" w:space="0" w:color="auto"/>
        <w:bottom w:val="none" w:sz="0" w:space="0" w:color="auto"/>
        <w:right w:val="none" w:sz="0" w:space="0" w:color="auto"/>
      </w:divBdr>
    </w:div>
    <w:div w:id="1970477413">
      <w:bodyDiv w:val="1"/>
      <w:marLeft w:val="0"/>
      <w:marRight w:val="0"/>
      <w:marTop w:val="0"/>
      <w:marBottom w:val="0"/>
      <w:divBdr>
        <w:top w:val="none" w:sz="0" w:space="0" w:color="auto"/>
        <w:left w:val="none" w:sz="0" w:space="0" w:color="auto"/>
        <w:bottom w:val="none" w:sz="0" w:space="0" w:color="auto"/>
        <w:right w:val="none" w:sz="0" w:space="0" w:color="auto"/>
      </w:divBdr>
    </w:div>
    <w:div w:id="2034721153">
      <w:bodyDiv w:val="1"/>
      <w:marLeft w:val="0"/>
      <w:marRight w:val="0"/>
      <w:marTop w:val="0"/>
      <w:marBottom w:val="0"/>
      <w:divBdr>
        <w:top w:val="none" w:sz="0" w:space="0" w:color="auto"/>
        <w:left w:val="none" w:sz="0" w:space="0" w:color="auto"/>
        <w:bottom w:val="none" w:sz="0" w:space="0" w:color="auto"/>
        <w:right w:val="none" w:sz="0" w:space="0" w:color="auto"/>
      </w:divBdr>
    </w:div>
    <w:div w:id="20469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org/rate-alerts" TargetMode="External"/><Relationship Id="rId13" Type="http://schemas.openxmlformats.org/officeDocument/2006/relationships/hyperlink" Target="http://www.scc.virginia.gov/docket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c.ky.gov/PSC_WebNet/ViewCaseFilings.aspx?Case=2018-00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is.psc.mo.gov/mpsc/DocketShee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fis.psc.mo.gov/mpsc/DocketSheet.html" TargetMode="External"/><Relationship Id="rId4" Type="http://schemas.openxmlformats.org/officeDocument/2006/relationships/settings" Target="settings.xml"/><Relationship Id="rId9" Type="http://schemas.openxmlformats.org/officeDocument/2006/relationships/hyperlink" Target="https://psc.ky.gov/PSC_WebNet/ViewCaseFilings.aspx?Case=2018-00295" TargetMode="External"/><Relationship Id="rId14" Type="http://schemas.openxmlformats.org/officeDocument/2006/relationships/hyperlink" Target="http://www.ag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24F3-C8E8-4DA2-B76B-E72335AF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Zuretti</dc:creator>
  <cp:keywords/>
  <dc:description/>
  <cp:lastModifiedBy>Canavan, Frank</cp:lastModifiedBy>
  <cp:revision>28</cp:revision>
  <cp:lastPrinted>2018-04-11T13:26:00Z</cp:lastPrinted>
  <dcterms:created xsi:type="dcterms:W3CDTF">2019-07-01T17:22:00Z</dcterms:created>
  <dcterms:modified xsi:type="dcterms:W3CDTF">2019-10-11T14:19:00Z</dcterms:modified>
</cp:coreProperties>
</file>