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A39" w:rsidRPr="001F5597" w:rsidRDefault="00DB1A39" w:rsidP="006C3E85">
      <w:pPr>
        <w:spacing w:line="240" w:lineRule="auto"/>
        <w:contextualSpacing/>
        <w:rPr>
          <w:rFonts w:ascii="Arial" w:hAnsi="Arial" w:cs="Arial"/>
          <w:b/>
          <w:sz w:val="36"/>
          <w:szCs w:val="36"/>
        </w:rPr>
      </w:pPr>
      <w:r w:rsidRPr="001F5597">
        <w:rPr>
          <w:rFonts w:ascii="Arial" w:hAnsi="Arial" w:cs="Arial"/>
          <w:b/>
          <w:sz w:val="36"/>
          <w:szCs w:val="36"/>
        </w:rPr>
        <w:t>A Summary of State Rate &amp; Regulatory Activity</w:t>
      </w:r>
    </w:p>
    <w:p w:rsidR="00DB1A39" w:rsidRPr="00B51D1F" w:rsidRDefault="00DB1A39" w:rsidP="006C3E85">
      <w:pPr>
        <w:spacing w:line="240" w:lineRule="auto"/>
        <w:contextualSpacing/>
        <w:rPr>
          <w:rFonts w:ascii="Arial" w:hAnsi="Arial" w:cs="Arial"/>
          <w:b/>
          <w:i/>
          <w:sz w:val="16"/>
          <w:szCs w:val="16"/>
        </w:rPr>
      </w:pPr>
      <w:r w:rsidRPr="00B51D1F">
        <w:rPr>
          <w:rFonts w:ascii="Arial" w:hAnsi="Arial" w:cs="Arial"/>
          <w:b/>
          <w:i/>
          <w:sz w:val="16"/>
          <w:szCs w:val="16"/>
        </w:rPr>
        <w:t>A Publication for AGA Members</w:t>
      </w:r>
    </w:p>
    <w:p w:rsidR="00DB1A39" w:rsidRPr="00B51D1F" w:rsidRDefault="00DB1A39" w:rsidP="004A4C05">
      <w:pPr>
        <w:spacing w:line="240" w:lineRule="auto"/>
        <w:contextualSpacing/>
        <w:rPr>
          <w:rFonts w:ascii="Arial" w:hAnsi="Arial" w:cs="Arial"/>
          <w:i/>
        </w:rPr>
      </w:pPr>
      <w:r w:rsidRPr="00B51D1F">
        <w:rPr>
          <w:rFonts w:ascii="Arial" w:hAnsi="Arial" w:cs="Arial"/>
          <w:i/>
        </w:rPr>
        <w:t>This document is intended to provide AGA members with a summary of information relative to state rate and regulatory proceedings and other related matters on a timely basis.  Additional information and archived versions of the Rate &amp; Regulatory Update can be found at the following web link:</w:t>
      </w:r>
      <w:r w:rsidR="001F5597">
        <w:rPr>
          <w:rFonts w:ascii="Arial" w:hAnsi="Arial" w:cs="Arial"/>
          <w:i/>
        </w:rPr>
        <w:t xml:space="preserve"> </w:t>
      </w:r>
      <w:hyperlink r:id="rId8" w:history="1">
        <w:r w:rsidRPr="00B51D1F">
          <w:rPr>
            <w:rStyle w:val="Hyperlink"/>
            <w:rFonts w:ascii="Arial" w:hAnsi="Arial" w:cs="Arial"/>
            <w:i/>
          </w:rPr>
          <w:t>https://www.aga.org/rate-alerts</w:t>
        </w:r>
      </w:hyperlink>
      <w:r w:rsidRPr="00B51D1F">
        <w:rPr>
          <w:rFonts w:ascii="Arial" w:hAnsi="Arial" w:cs="Arial"/>
          <w:i/>
        </w:rPr>
        <w:t xml:space="preserve"> </w:t>
      </w:r>
    </w:p>
    <w:p w:rsidR="008A2C67" w:rsidRPr="00B51D1F" w:rsidRDefault="008A2C67" w:rsidP="004A4C05">
      <w:pPr>
        <w:spacing w:line="240" w:lineRule="auto"/>
        <w:contextualSpacing/>
        <w:rPr>
          <w:rFonts w:ascii="Arial" w:hAnsi="Arial" w:cs="Arial"/>
          <w:i/>
        </w:rPr>
      </w:pPr>
    </w:p>
    <w:tbl>
      <w:tblPr>
        <w:tblStyle w:val="TableGrid"/>
        <w:tblW w:w="9895" w:type="dxa"/>
        <w:tblLook w:val="04A0" w:firstRow="1" w:lastRow="0" w:firstColumn="1" w:lastColumn="0" w:noHBand="0" w:noVBand="1"/>
      </w:tblPr>
      <w:tblGrid>
        <w:gridCol w:w="2245"/>
        <w:gridCol w:w="7650"/>
      </w:tblGrid>
      <w:tr w:rsidR="00EE50B3" w:rsidRPr="00B51D1F" w:rsidTr="004E793E">
        <w:trPr>
          <w:trHeight w:val="279"/>
        </w:trPr>
        <w:tc>
          <w:tcPr>
            <w:tcW w:w="9895" w:type="dxa"/>
            <w:gridSpan w:val="2"/>
            <w:shd w:val="clear" w:color="auto" w:fill="1F4E79" w:themeFill="accent1" w:themeFillShade="80"/>
          </w:tcPr>
          <w:p w:rsidR="00EE50B3" w:rsidRPr="001F5597" w:rsidRDefault="00EE50B3" w:rsidP="00684717">
            <w:pPr>
              <w:jc w:val="center"/>
              <w:rPr>
                <w:rFonts w:ascii="Arial" w:hAnsi="Arial" w:cs="Arial"/>
                <w:b/>
                <w:color w:val="FFFFFF" w:themeColor="background1"/>
                <w:sz w:val="36"/>
                <w:szCs w:val="36"/>
              </w:rPr>
            </w:pPr>
            <w:r w:rsidRPr="001F5597">
              <w:rPr>
                <w:rFonts w:ascii="Arial" w:hAnsi="Arial" w:cs="Arial"/>
                <w:b/>
                <w:color w:val="FFFFFF" w:themeColor="background1"/>
                <w:sz w:val="36"/>
                <w:szCs w:val="36"/>
              </w:rPr>
              <w:t>Rate Case Data</w:t>
            </w:r>
            <w:r w:rsidR="00DE3CEE" w:rsidRPr="001F5597">
              <w:rPr>
                <w:rFonts w:ascii="Arial" w:hAnsi="Arial" w:cs="Arial"/>
                <w:b/>
                <w:color w:val="FFFFFF" w:themeColor="background1"/>
                <w:sz w:val="36"/>
                <w:szCs w:val="36"/>
              </w:rPr>
              <w:t xml:space="preserve"> for t</w:t>
            </w:r>
            <w:r w:rsidRPr="001F5597">
              <w:rPr>
                <w:rFonts w:ascii="Arial" w:hAnsi="Arial" w:cs="Arial"/>
                <w:b/>
                <w:color w:val="FFFFFF" w:themeColor="background1"/>
                <w:sz w:val="36"/>
                <w:szCs w:val="36"/>
              </w:rPr>
              <w:t>his Period</w:t>
            </w:r>
          </w:p>
        </w:tc>
      </w:tr>
      <w:tr w:rsidR="00EE50B3" w:rsidRPr="00B51D1F" w:rsidTr="002E5982">
        <w:trPr>
          <w:trHeight w:val="279"/>
        </w:trPr>
        <w:tc>
          <w:tcPr>
            <w:tcW w:w="2245" w:type="dxa"/>
            <w:shd w:val="clear" w:color="auto" w:fill="1F4E79" w:themeFill="accent1" w:themeFillShade="80"/>
          </w:tcPr>
          <w:p w:rsidR="00EE50B3" w:rsidRPr="00B51D1F" w:rsidRDefault="00EE50B3" w:rsidP="00EE50B3">
            <w:pPr>
              <w:rPr>
                <w:rFonts w:ascii="Arial" w:hAnsi="Arial" w:cs="Arial"/>
                <w:b/>
                <w:color w:val="FFFFFF" w:themeColor="background1"/>
              </w:rPr>
            </w:pPr>
            <w:r w:rsidRPr="00B51D1F">
              <w:rPr>
                <w:rFonts w:ascii="Arial" w:hAnsi="Arial" w:cs="Arial"/>
                <w:b/>
                <w:color w:val="FFFFFF" w:themeColor="background1"/>
              </w:rPr>
              <w:t>Orders Issued</w:t>
            </w:r>
          </w:p>
        </w:tc>
        <w:tc>
          <w:tcPr>
            <w:tcW w:w="7650" w:type="dxa"/>
            <w:tcBorders>
              <w:bottom w:val="single" w:sz="4" w:space="0" w:color="auto"/>
            </w:tcBorders>
            <w:shd w:val="clear" w:color="auto" w:fill="auto"/>
          </w:tcPr>
          <w:p w:rsidR="00EE50B3" w:rsidRPr="00B51D1F" w:rsidRDefault="006F7D43" w:rsidP="000C1B88">
            <w:pPr>
              <w:tabs>
                <w:tab w:val="left" w:pos="780"/>
              </w:tabs>
              <w:rPr>
                <w:rFonts w:ascii="Arial" w:hAnsi="Arial" w:cs="Arial"/>
              </w:rPr>
            </w:pPr>
            <w:r>
              <w:rPr>
                <w:rFonts w:ascii="Arial" w:hAnsi="Arial" w:cs="Arial"/>
              </w:rPr>
              <w:t>12</w:t>
            </w:r>
          </w:p>
        </w:tc>
      </w:tr>
      <w:tr w:rsidR="00EE50B3" w:rsidRPr="00B51D1F" w:rsidTr="002E5982">
        <w:trPr>
          <w:trHeight w:val="279"/>
        </w:trPr>
        <w:tc>
          <w:tcPr>
            <w:tcW w:w="2245" w:type="dxa"/>
            <w:shd w:val="clear" w:color="auto" w:fill="1F4E79" w:themeFill="accent1" w:themeFillShade="80"/>
          </w:tcPr>
          <w:p w:rsidR="00EE50B3" w:rsidRPr="00B51D1F" w:rsidRDefault="00EE50B3" w:rsidP="00EE50B3">
            <w:pPr>
              <w:rPr>
                <w:rFonts w:ascii="Arial" w:hAnsi="Arial" w:cs="Arial"/>
                <w:b/>
                <w:color w:val="FFFFFF" w:themeColor="background1"/>
              </w:rPr>
            </w:pPr>
            <w:r w:rsidRPr="00B51D1F">
              <w:rPr>
                <w:rFonts w:ascii="Arial" w:hAnsi="Arial" w:cs="Arial"/>
                <w:b/>
                <w:color w:val="FFFFFF" w:themeColor="background1"/>
              </w:rPr>
              <w:t>Average ROE</w:t>
            </w:r>
            <w:r w:rsidR="002B206B" w:rsidRPr="00B51D1F">
              <w:rPr>
                <w:rFonts w:ascii="Arial" w:hAnsi="Arial" w:cs="Arial"/>
                <w:b/>
                <w:color w:val="FFFFFF" w:themeColor="background1"/>
              </w:rPr>
              <w:t xml:space="preserve"> </w:t>
            </w:r>
          </w:p>
        </w:tc>
        <w:tc>
          <w:tcPr>
            <w:tcW w:w="7650" w:type="dxa"/>
            <w:shd w:val="clear" w:color="auto" w:fill="auto"/>
          </w:tcPr>
          <w:p w:rsidR="00EE50B3" w:rsidRPr="00B51D1F" w:rsidRDefault="00ED6C19" w:rsidP="00E8069C">
            <w:pPr>
              <w:rPr>
                <w:rFonts w:ascii="Arial" w:hAnsi="Arial" w:cs="Arial"/>
              </w:rPr>
            </w:pPr>
            <w:r>
              <w:rPr>
                <w:rFonts w:ascii="Arial" w:hAnsi="Arial" w:cs="Arial"/>
              </w:rPr>
              <w:t>9.94</w:t>
            </w:r>
          </w:p>
        </w:tc>
      </w:tr>
      <w:tr w:rsidR="006B0973" w:rsidRPr="00B51D1F" w:rsidTr="004E793E">
        <w:trPr>
          <w:trHeight w:val="279"/>
        </w:trPr>
        <w:tc>
          <w:tcPr>
            <w:tcW w:w="9895" w:type="dxa"/>
            <w:gridSpan w:val="2"/>
            <w:tcBorders>
              <w:bottom w:val="single" w:sz="4" w:space="0" w:color="auto"/>
            </w:tcBorders>
            <w:shd w:val="clear" w:color="auto" w:fill="1F4E79" w:themeFill="accent1" w:themeFillShade="80"/>
          </w:tcPr>
          <w:p w:rsidR="006B0973" w:rsidRPr="00B51D1F" w:rsidRDefault="006B0973" w:rsidP="007E1100">
            <w:pPr>
              <w:rPr>
                <w:rFonts w:ascii="Arial" w:hAnsi="Arial" w:cs="Arial"/>
                <w:b/>
              </w:rPr>
            </w:pPr>
            <w:r w:rsidRPr="00B51D1F">
              <w:rPr>
                <w:rFonts w:ascii="Arial" w:hAnsi="Arial" w:cs="Arial"/>
                <w:b/>
                <w:color w:val="FFFFFF" w:themeColor="background1"/>
              </w:rPr>
              <w:t>Trends and Analysis</w:t>
            </w:r>
          </w:p>
        </w:tc>
      </w:tr>
      <w:tr w:rsidR="006B0973" w:rsidRPr="00B51D1F" w:rsidTr="00BD7495">
        <w:trPr>
          <w:trHeight w:val="800"/>
        </w:trPr>
        <w:tc>
          <w:tcPr>
            <w:tcW w:w="9895" w:type="dxa"/>
            <w:gridSpan w:val="2"/>
            <w:tcBorders>
              <w:bottom w:val="single" w:sz="4" w:space="0" w:color="auto"/>
            </w:tcBorders>
            <w:shd w:val="clear" w:color="auto" w:fill="auto"/>
          </w:tcPr>
          <w:p w:rsidR="00244BAD" w:rsidRDefault="00244BAD" w:rsidP="00244BAD">
            <w:pPr>
              <w:tabs>
                <w:tab w:val="left" w:pos="3285"/>
              </w:tabs>
              <w:rPr>
                <w:rFonts w:ascii="Arial" w:hAnsi="Arial" w:cs="Arial"/>
              </w:rPr>
            </w:pPr>
            <w:r w:rsidRPr="00244BAD">
              <w:rPr>
                <w:rFonts w:ascii="Arial" w:hAnsi="Arial" w:cs="Arial"/>
              </w:rPr>
              <w:t xml:space="preserve">The average ROE authorized gas utilities </w:t>
            </w:r>
            <w:proofErr w:type="gramStart"/>
            <w:r w:rsidRPr="00244BAD">
              <w:rPr>
                <w:rFonts w:ascii="Arial" w:hAnsi="Arial" w:cs="Arial"/>
              </w:rPr>
              <w:t>was</w:t>
            </w:r>
            <w:proofErr w:type="gramEnd"/>
            <w:r w:rsidRPr="00244BAD">
              <w:rPr>
                <w:rFonts w:ascii="Arial" w:hAnsi="Arial" w:cs="Arial"/>
              </w:rPr>
              <w:t xml:space="preserve"> 9.</w:t>
            </w:r>
            <w:r w:rsidR="00ED6C19">
              <w:rPr>
                <w:rFonts w:ascii="Arial" w:hAnsi="Arial" w:cs="Arial"/>
              </w:rPr>
              <w:t>94</w:t>
            </w:r>
            <w:r w:rsidRPr="00244BAD">
              <w:rPr>
                <w:rFonts w:ascii="Arial" w:hAnsi="Arial" w:cs="Arial"/>
              </w:rPr>
              <w:t xml:space="preserve">% in the </w:t>
            </w:r>
            <w:r w:rsidR="00ED6C19">
              <w:rPr>
                <w:rFonts w:ascii="Arial" w:hAnsi="Arial" w:cs="Arial"/>
              </w:rPr>
              <w:t>third</w:t>
            </w:r>
            <w:r w:rsidRPr="00244BAD">
              <w:rPr>
                <w:rFonts w:ascii="Arial" w:hAnsi="Arial" w:cs="Arial"/>
              </w:rPr>
              <w:t xml:space="preserve"> quarter of 2019 compared to 9.</w:t>
            </w:r>
            <w:r w:rsidR="00ED6C19">
              <w:rPr>
                <w:rFonts w:ascii="Arial" w:hAnsi="Arial" w:cs="Arial"/>
              </w:rPr>
              <w:t>69</w:t>
            </w:r>
            <w:r w:rsidRPr="00244BAD">
              <w:rPr>
                <w:rFonts w:ascii="Arial" w:hAnsi="Arial" w:cs="Arial"/>
              </w:rPr>
              <w:t xml:space="preserve">% in </w:t>
            </w:r>
            <w:r>
              <w:rPr>
                <w:rFonts w:ascii="Arial" w:hAnsi="Arial" w:cs="Arial"/>
              </w:rPr>
              <w:t xml:space="preserve">the </w:t>
            </w:r>
            <w:r w:rsidR="00ED6C19">
              <w:rPr>
                <w:rFonts w:ascii="Arial" w:hAnsi="Arial" w:cs="Arial"/>
              </w:rPr>
              <w:t>second</w:t>
            </w:r>
            <w:r w:rsidRPr="00244BAD">
              <w:rPr>
                <w:rFonts w:ascii="Arial" w:hAnsi="Arial" w:cs="Arial"/>
              </w:rPr>
              <w:t xml:space="preserve"> </w:t>
            </w:r>
            <w:r>
              <w:rPr>
                <w:rFonts w:ascii="Arial" w:hAnsi="Arial" w:cs="Arial"/>
              </w:rPr>
              <w:t>quarter</w:t>
            </w:r>
            <w:r w:rsidRPr="00244BAD">
              <w:rPr>
                <w:rFonts w:ascii="Arial" w:hAnsi="Arial" w:cs="Arial"/>
              </w:rPr>
              <w:t>.</w:t>
            </w:r>
            <w:r>
              <w:rPr>
                <w:rFonts w:ascii="Arial" w:hAnsi="Arial" w:cs="Arial"/>
              </w:rPr>
              <w:t xml:space="preserve"> </w:t>
            </w:r>
            <w:r w:rsidR="00ED6C19">
              <w:rPr>
                <w:rFonts w:ascii="Arial" w:hAnsi="Arial" w:cs="Arial"/>
              </w:rPr>
              <w:t>Six</w:t>
            </w:r>
            <w:r>
              <w:rPr>
                <w:rFonts w:ascii="Arial" w:hAnsi="Arial" w:cs="Arial"/>
              </w:rPr>
              <w:t xml:space="preserve"> of the rate cases decided this quarter contained a</w:t>
            </w:r>
            <w:r w:rsidR="00ED6C19">
              <w:rPr>
                <w:rFonts w:ascii="Arial" w:hAnsi="Arial" w:cs="Arial"/>
              </w:rPr>
              <w:t xml:space="preserve"> definitive</w:t>
            </w:r>
            <w:r>
              <w:rPr>
                <w:rFonts w:ascii="Arial" w:hAnsi="Arial" w:cs="Arial"/>
              </w:rPr>
              <w:t xml:space="preserve"> ROE determination.</w:t>
            </w:r>
            <w:r w:rsidRPr="00244BAD">
              <w:rPr>
                <w:rFonts w:ascii="Arial" w:hAnsi="Arial" w:cs="Arial"/>
              </w:rPr>
              <w:t xml:space="preserve"> </w:t>
            </w:r>
            <w:r w:rsidR="00B12EE6" w:rsidRPr="00B12EE6">
              <w:rPr>
                <w:rFonts w:ascii="Arial" w:hAnsi="Arial" w:cs="Arial"/>
              </w:rPr>
              <w:t xml:space="preserve">The average ROE authorized </w:t>
            </w:r>
            <w:r w:rsidR="009863F7">
              <w:rPr>
                <w:rFonts w:ascii="Arial" w:hAnsi="Arial" w:cs="Arial"/>
              </w:rPr>
              <w:t xml:space="preserve">for </w:t>
            </w:r>
            <w:r w:rsidR="00B12EE6" w:rsidRPr="00B12EE6">
              <w:rPr>
                <w:rFonts w:ascii="Arial" w:hAnsi="Arial" w:cs="Arial"/>
              </w:rPr>
              <w:t xml:space="preserve">gas utilities was 9.68% in cases decided during the first nine months of 2019, just above the 9.59% in full-year 2018. There were only 10 gas cases that included </w:t>
            </w:r>
            <w:proofErr w:type="gramStart"/>
            <w:r w:rsidR="00B12EE6" w:rsidRPr="00B12EE6">
              <w:rPr>
                <w:rFonts w:ascii="Arial" w:hAnsi="Arial" w:cs="Arial"/>
              </w:rPr>
              <w:t>an</w:t>
            </w:r>
            <w:proofErr w:type="gramEnd"/>
            <w:r w:rsidR="00B12EE6" w:rsidRPr="00B12EE6">
              <w:rPr>
                <w:rFonts w:ascii="Arial" w:hAnsi="Arial" w:cs="Arial"/>
              </w:rPr>
              <w:t xml:space="preserve"> ROE determination in the first three quarters of 2019, versus 40 in 2018.</w:t>
            </w:r>
            <w:r w:rsidR="00B12EE6" w:rsidRPr="00B12EE6">
              <w:t xml:space="preserve"> </w:t>
            </w:r>
            <w:r w:rsidR="00B12EE6" w:rsidRPr="00B12EE6">
              <w:rPr>
                <w:rFonts w:ascii="Arial" w:hAnsi="Arial" w:cs="Arial"/>
              </w:rPr>
              <w:t>In the first nine months of 2019</w:t>
            </w:r>
            <w:r w:rsidR="00B12EE6">
              <w:rPr>
                <w:rFonts w:ascii="Arial" w:hAnsi="Arial" w:cs="Arial"/>
              </w:rPr>
              <w:t xml:space="preserve">, </w:t>
            </w:r>
            <w:r w:rsidR="00B12EE6" w:rsidRPr="00B12EE6">
              <w:rPr>
                <w:rFonts w:ascii="Arial" w:hAnsi="Arial" w:cs="Arial"/>
              </w:rPr>
              <w:t>the median authorized ROE</w:t>
            </w:r>
            <w:r w:rsidR="00B12EE6">
              <w:rPr>
                <w:rFonts w:ascii="Arial" w:hAnsi="Arial" w:cs="Arial"/>
              </w:rPr>
              <w:t xml:space="preserve"> for gas utilities was</w:t>
            </w:r>
            <w:r w:rsidR="00B12EE6" w:rsidRPr="00B12EE6">
              <w:rPr>
                <w:rFonts w:ascii="Arial" w:hAnsi="Arial" w:cs="Arial"/>
              </w:rPr>
              <w:t xml:space="preserve"> 9.72%, versus 9.60% in 2018</w:t>
            </w:r>
            <w:r w:rsidR="00B12EE6">
              <w:rPr>
                <w:rFonts w:ascii="Arial" w:hAnsi="Arial" w:cs="Arial"/>
              </w:rPr>
              <w:t>.</w:t>
            </w:r>
          </w:p>
          <w:p w:rsidR="00244BAD" w:rsidRDefault="00244BAD" w:rsidP="00C1350E">
            <w:pPr>
              <w:tabs>
                <w:tab w:val="left" w:pos="3285"/>
              </w:tabs>
              <w:rPr>
                <w:rFonts w:ascii="Arial" w:hAnsi="Arial" w:cs="Arial"/>
              </w:rPr>
            </w:pPr>
          </w:p>
          <w:p w:rsidR="003E0A98" w:rsidRPr="00063A04" w:rsidRDefault="003E0A98" w:rsidP="00C1350E">
            <w:pPr>
              <w:tabs>
                <w:tab w:val="left" w:pos="3285"/>
              </w:tabs>
              <w:rPr>
                <w:rFonts w:ascii="Arial" w:hAnsi="Arial" w:cs="Arial"/>
              </w:rPr>
            </w:pPr>
            <w:r w:rsidRPr="00063A04">
              <w:rPr>
                <w:rFonts w:ascii="Arial" w:hAnsi="Arial" w:cs="Arial"/>
              </w:rPr>
              <w:t xml:space="preserve">Increased costs associated with environmental compliance, infrastructure upgrades and expansion, storm and disaster recovery, cybersecurity and employee benefits argue for the continuation of an active rate case agenda over the next several years. </w:t>
            </w:r>
          </w:p>
          <w:p w:rsidR="00370652" w:rsidRPr="00063A04" w:rsidRDefault="00370652" w:rsidP="00C1350E">
            <w:pPr>
              <w:tabs>
                <w:tab w:val="left" w:pos="3285"/>
              </w:tabs>
              <w:rPr>
                <w:rFonts w:ascii="Arial" w:hAnsi="Arial" w:cs="Arial"/>
              </w:rPr>
            </w:pPr>
          </w:p>
          <w:p w:rsidR="00063A04" w:rsidRDefault="003E0A98" w:rsidP="00C1350E">
            <w:pPr>
              <w:tabs>
                <w:tab w:val="left" w:pos="3285"/>
              </w:tabs>
              <w:rPr>
                <w:rFonts w:ascii="Arial" w:hAnsi="Arial" w:cs="Arial"/>
              </w:rPr>
            </w:pPr>
            <w:r w:rsidRPr="00063A04">
              <w:rPr>
                <w:rFonts w:ascii="Arial" w:hAnsi="Arial" w:cs="Arial"/>
              </w:rPr>
              <w:t xml:space="preserve">Furthermore, rising interest rates may also play a role in increased rate case activity. </w:t>
            </w:r>
            <w:r w:rsidR="000B5134" w:rsidRPr="000B5134">
              <w:rPr>
                <w:rFonts w:ascii="Arial" w:hAnsi="Arial" w:cs="Arial"/>
              </w:rPr>
              <w:t>However, with concerns of slowing growth, fears of a global recession and the impact of U.S.-China trade tensions negatively weighing on the U.S. economy, the Fed, after more than a decade without a cut, has lowered rates twice by a quarter point in July and again in September; the new target range is now 1.75% to 2%. Fed watchers expect a third cut of similar magnitude later in October.</w:t>
            </w:r>
          </w:p>
          <w:p w:rsidR="000B5134" w:rsidRDefault="000B5134" w:rsidP="00C1350E">
            <w:pPr>
              <w:tabs>
                <w:tab w:val="left" w:pos="3285"/>
              </w:tabs>
              <w:rPr>
                <w:rFonts w:ascii="Arial" w:hAnsi="Arial" w:cs="Arial"/>
              </w:rPr>
            </w:pPr>
          </w:p>
          <w:p w:rsidR="000B5134" w:rsidRDefault="000B5134" w:rsidP="00C1350E">
            <w:pPr>
              <w:tabs>
                <w:tab w:val="left" w:pos="3285"/>
              </w:tabs>
              <w:rPr>
                <w:rFonts w:ascii="Arial" w:hAnsi="Arial" w:cs="Arial"/>
              </w:rPr>
            </w:pPr>
            <w:r w:rsidRPr="000B5134">
              <w:rPr>
                <w:rFonts w:ascii="Arial" w:hAnsi="Arial" w:cs="Arial"/>
              </w:rPr>
              <w:t>While increases in the federal funds rate do not move in lockstep with longer-term treasuries and authorized ROEs do not move in lockstep with interest rates, the expectation is that as interest rates change, authorized ROEs would also begin to change in similar fashion. However, several factors impact the timing and magnitude of this anticipated shift. Normal regulatory lag, i.e., the amount of time it takes for a utility to put together a rate case filing and tender it to the commission and then for the commission to process the case, would without any other influences delay a change in average authorized ROEs relative to interest rates.</w:t>
            </w:r>
          </w:p>
          <w:p w:rsidR="000B5134" w:rsidRPr="00063A04" w:rsidRDefault="000B5134" w:rsidP="00C1350E">
            <w:pPr>
              <w:tabs>
                <w:tab w:val="left" w:pos="3285"/>
              </w:tabs>
              <w:rPr>
                <w:rFonts w:ascii="Arial" w:hAnsi="Arial" w:cs="Arial"/>
              </w:rPr>
            </w:pPr>
          </w:p>
          <w:p w:rsidR="006C0F04" w:rsidRDefault="003E0A98" w:rsidP="00762122">
            <w:pPr>
              <w:tabs>
                <w:tab w:val="left" w:pos="3285"/>
              </w:tabs>
              <w:rPr>
                <w:rFonts w:ascii="Arial" w:hAnsi="Arial" w:cs="Arial"/>
              </w:rPr>
            </w:pPr>
            <w:r w:rsidRPr="00063A04">
              <w:rPr>
                <w:rFonts w:ascii="Arial" w:hAnsi="Arial" w:cs="Arial"/>
              </w:rPr>
              <w:t>To counter the negative cash flow impact of the Tax Cuts and Jobs Act, many utilities sought higher common equity ratios, and the average authorized equity ratio adopted by utility commissions</w:t>
            </w:r>
            <w:r w:rsidR="000B5134">
              <w:rPr>
                <w:rFonts w:ascii="Arial" w:hAnsi="Arial" w:cs="Arial"/>
              </w:rPr>
              <w:t xml:space="preserve"> </w:t>
            </w:r>
            <w:r w:rsidR="000B5134" w:rsidRPr="000B5134">
              <w:rPr>
                <w:rFonts w:ascii="Arial" w:hAnsi="Arial" w:cs="Arial"/>
              </w:rPr>
              <w:t>in the first nine months of 2019 were modestly higher</w:t>
            </w:r>
            <w:r w:rsidR="000B5134">
              <w:rPr>
                <w:rFonts w:ascii="Arial" w:hAnsi="Arial" w:cs="Arial"/>
              </w:rPr>
              <w:t xml:space="preserve"> </w:t>
            </w:r>
            <w:r w:rsidR="000B5134" w:rsidRPr="000B5134">
              <w:rPr>
                <w:rFonts w:ascii="Arial" w:hAnsi="Arial" w:cs="Arial"/>
              </w:rPr>
              <w:t>than the levels observed in 2018 and 2017</w:t>
            </w:r>
            <w:r w:rsidRPr="00063A04">
              <w:rPr>
                <w:rFonts w:ascii="Arial" w:hAnsi="Arial" w:cs="Arial"/>
              </w:rPr>
              <w:t xml:space="preserve">. The </w:t>
            </w:r>
            <w:r w:rsidR="000F695E" w:rsidRPr="00063A04">
              <w:rPr>
                <w:rFonts w:ascii="Arial" w:hAnsi="Arial" w:cs="Arial"/>
              </w:rPr>
              <w:t>average allowed equity ratio for gas utilities nationwide was 5</w:t>
            </w:r>
            <w:r w:rsidR="000B5134">
              <w:rPr>
                <w:rFonts w:ascii="Arial" w:hAnsi="Arial" w:cs="Arial"/>
              </w:rPr>
              <w:t>2</w:t>
            </w:r>
            <w:r w:rsidR="000F695E" w:rsidRPr="00063A04">
              <w:rPr>
                <w:rFonts w:ascii="Arial" w:hAnsi="Arial" w:cs="Arial"/>
              </w:rPr>
              <w:t>.</w:t>
            </w:r>
            <w:r w:rsidR="000B5134">
              <w:rPr>
                <w:rFonts w:ascii="Arial" w:hAnsi="Arial" w:cs="Arial"/>
              </w:rPr>
              <w:t>52</w:t>
            </w:r>
            <w:r w:rsidR="000F695E" w:rsidRPr="00063A04">
              <w:rPr>
                <w:rFonts w:ascii="Arial" w:hAnsi="Arial" w:cs="Arial"/>
              </w:rPr>
              <w:t xml:space="preserve">% in the first </w:t>
            </w:r>
            <w:r w:rsidR="00762122">
              <w:rPr>
                <w:rFonts w:ascii="Arial" w:hAnsi="Arial" w:cs="Arial"/>
              </w:rPr>
              <w:t>nine</w:t>
            </w:r>
            <w:r w:rsidR="000F695E" w:rsidRPr="00063A04">
              <w:rPr>
                <w:rFonts w:ascii="Arial" w:hAnsi="Arial" w:cs="Arial"/>
              </w:rPr>
              <w:t xml:space="preserve"> months of 2019; compared to 50.09% in 2018 and 49.88% in 2017. The </w:t>
            </w:r>
            <w:proofErr w:type="gramStart"/>
            <w:r w:rsidR="000F695E" w:rsidRPr="00063A04">
              <w:rPr>
                <w:rFonts w:ascii="Arial" w:hAnsi="Arial" w:cs="Arial"/>
              </w:rPr>
              <w:t>aforementioned averages</w:t>
            </w:r>
            <w:proofErr w:type="gramEnd"/>
            <w:r w:rsidR="000F695E" w:rsidRPr="00063A04">
              <w:rPr>
                <w:rFonts w:ascii="Arial" w:hAnsi="Arial" w:cs="Arial"/>
              </w:rPr>
              <w:t xml:space="preserve"> include allowed equity ratios adopted by utility commissions in Arkansas, Florida, Indiana and Michigan – jurisdictions that authorize capital structures that include cost-free items or tax credit balances. </w:t>
            </w:r>
          </w:p>
          <w:p w:rsidR="00762122" w:rsidRPr="00B51D1F" w:rsidRDefault="00762122" w:rsidP="00762122">
            <w:pPr>
              <w:tabs>
                <w:tab w:val="left" w:pos="3285"/>
              </w:tabs>
              <w:rPr>
                <w:rFonts w:ascii="Arial" w:hAnsi="Arial" w:cs="Arial"/>
              </w:rPr>
            </w:pPr>
            <w:r w:rsidRPr="00762122">
              <w:rPr>
                <w:rFonts w:ascii="Arial" w:hAnsi="Arial" w:cs="Arial"/>
              </w:rPr>
              <w:lastRenderedPageBreak/>
              <w:t xml:space="preserve">Taking a longer-term view, equity ratios have generally increased over the last 15 years — the average equity ratio approved in </w:t>
            </w:r>
            <w:r>
              <w:rPr>
                <w:rFonts w:ascii="Arial" w:hAnsi="Arial" w:cs="Arial"/>
              </w:rPr>
              <w:t>gas</w:t>
            </w:r>
            <w:r w:rsidRPr="00762122">
              <w:rPr>
                <w:rFonts w:ascii="Arial" w:hAnsi="Arial" w:cs="Arial"/>
              </w:rPr>
              <w:t xml:space="preserve"> rate cases decided during 2004 was 45.81%</w:t>
            </w:r>
            <w:r>
              <w:rPr>
                <w:rFonts w:ascii="Arial" w:hAnsi="Arial" w:cs="Arial"/>
              </w:rPr>
              <w:t>.</w:t>
            </w:r>
          </w:p>
        </w:tc>
      </w:tr>
      <w:tr w:rsidR="0061237E" w:rsidRPr="00B51D1F" w:rsidTr="004E793E">
        <w:trPr>
          <w:trHeight w:val="279"/>
        </w:trPr>
        <w:tc>
          <w:tcPr>
            <w:tcW w:w="9895" w:type="dxa"/>
            <w:gridSpan w:val="2"/>
            <w:tcBorders>
              <w:top w:val="nil"/>
            </w:tcBorders>
            <w:shd w:val="clear" w:color="auto" w:fill="1F4E79" w:themeFill="accent1" w:themeFillShade="80"/>
          </w:tcPr>
          <w:p w:rsidR="0061237E" w:rsidRPr="001F5597" w:rsidRDefault="0061237E" w:rsidP="004422BE">
            <w:pPr>
              <w:jc w:val="center"/>
              <w:rPr>
                <w:rFonts w:ascii="Arial" w:hAnsi="Arial" w:cs="Arial"/>
                <w:b/>
                <w:color w:val="FFFFFF" w:themeColor="background1"/>
                <w:sz w:val="36"/>
                <w:szCs w:val="36"/>
              </w:rPr>
            </w:pPr>
            <w:r w:rsidRPr="001F5597">
              <w:rPr>
                <w:rFonts w:ascii="Arial" w:hAnsi="Arial" w:cs="Arial"/>
                <w:b/>
                <w:color w:val="FFFFFF" w:themeColor="background1"/>
                <w:sz w:val="36"/>
                <w:szCs w:val="36"/>
              </w:rPr>
              <w:lastRenderedPageBreak/>
              <w:t>Other Regulatory Developments</w:t>
            </w:r>
          </w:p>
        </w:tc>
      </w:tr>
      <w:tr w:rsidR="0061237E" w:rsidRPr="00B51D1F" w:rsidTr="0061237E">
        <w:trPr>
          <w:trHeight w:val="279"/>
        </w:trPr>
        <w:tc>
          <w:tcPr>
            <w:tcW w:w="9895" w:type="dxa"/>
            <w:gridSpan w:val="2"/>
            <w:tcBorders>
              <w:top w:val="nil"/>
            </w:tcBorders>
            <w:shd w:val="clear" w:color="auto" w:fill="auto"/>
          </w:tcPr>
          <w:p w:rsidR="0066650B" w:rsidRPr="004D07E3" w:rsidRDefault="008A2C67" w:rsidP="0061237E">
            <w:pPr>
              <w:rPr>
                <w:rFonts w:ascii="Arial" w:hAnsi="Arial" w:cs="Arial"/>
                <w:b/>
                <w:u w:val="single"/>
              </w:rPr>
            </w:pPr>
            <w:r w:rsidRPr="004D07E3">
              <w:rPr>
                <w:rFonts w:ascii="Arial" w:hAnsi="Arial" w:cs="Arial"/>
                <w:b/>
                <w:u w:val="single"/>
              </w:rPr>
              <w:t>Commission Changes</w:t>
            </w:r>
            <w:r w:rsidR="00CD3DC9" w:rsidRPr="004D07E3">
              <w:rPr>
                <w:rFonts w:ascii="Arial" w:hAnsi="Arial" w:cs="Arial"/>
                <w:b/>
                <w:u w:val="single"/>
              </w:rPr>
              <w:t xml:space="preserve"> &amp; Updates</w:t>
            </w:r>
          </w:p>
          <w:p w:rsidR="00933722" w:rsidRPr="004D07E3" w:rsidRDefault="00933722" w:rsidP="0061237E">
            <w:pPr>
              <w:rPr>
                <w:rFonts w:ascii="Arial" w:hAnsi="Arial" w:cs="Arial"/>
                <w:b/>
                <w:u w:val="single"/>
              </w:rPr>
            </w:pPr>
          </w:p>
          <w:p w:rsidR="000C70F8" w:rsidRDefault="00745A89" w:rsidP="0061237E">
            <w:pPr>
              <w:rPr>
                <w:rFonts w:ascii="Arial" w:hAnsi="Arial" w:cs="Arial"/>
              </w:rPr>
            </w:pPr>
            <w:r>
              <w:rPr>
                <w:rFonts w:ascii="Arial" w:hAnsi="Arial" w:cs="Arial"/>
                <w:b/>
              </w:rPr>
              <w:t xml:space="preserve">CA: </w:t>
            </w:r>
            <w:r w:rsidRPr="00745A89">
              <w:rPr>
                <w:rFonts w:ascii="Arial" w:hAnsi="Arial" w:cs="Arial"/>
              </w:rPr>
              <w:t xml:space="preserve">Marybel Batjer </w:t>
            </w:r>
            <w:r>
              <w:rPr>
                <w:rFonts w:ascii="Arial" w:hAnsi="Arial" w:cs="Arial"/>
              </w:rPr>
              <w:t xml:space="preserve">was appointed </w:t>
            </w:r>
            <w:r w:rsidRPr="00745A89">
              <w:rPr>
                <w:rFonts w:ascii="Arial" w:hAnsi="Arial" w:cs="Arial"/>
              </w:rPr>
              <w:t xml:space="preserve">to serve as president of the California Public Utilities Commission. Batjer </w:t>
            </w:r>
            <w:r w:rsidR="00766FA9">
              <w:rPr>
                <w:rFonts w:ascii="Arial" w:hAnsi="Arial" w:cs="Arial"/>
              </w:rPr>
              <w:t>will</w:t>
            </w:r>
            <w:r w:rsidRPr="00745A89">
              <w:rPr>
                <w:rFonts w:ascii="Arial" w:hAnsi="Arial" w:cs="Arial"/>
              </w:rPr>
              <w:t xml:space="preserve"> replace current PUC President Michael Picker, who had announced that he would retire after almost five years on the job. </w:t>
            </w:r>
            <w:r>
              <w:rPr>
                <w:rFonts w:ascii="Arial" w:hAnsi="Arial" w:cs="Arial"/>
              </w:rPr>
              <w:t xml:space="preserve">The </w:t>
            </w:r>
            <w:r w:rsidRPr="00745A89">
              <w:rPr>
                <w:rFonts w:ascii="Arial" w:hAnsi="Arial" w:cs="Arial"/>
              </w:rPr>
              <w:t>term extends to January 2021.</w:t>
            </w:r>
          </w:p>
          <w:p w:rsidR="00745A89" w:rsidRDefault="00745A89" w:rsidP="0061237E">
            <w:pPr>
              <w:rPr>
                <w:rFonts w:ascii="Arial" w:hAnsi="Arial" w:cs="Arial"/>
                <w:u w:val="single"/>
              </w:rPr>
            </w:pPr>
          </w:p>
          <w:p w:rsidR="00745A89" w:rsidRDefault="00745A89" w:rsidP="0061237E">
            <w:pPr>
              <w:rPr>
                <w:rFonts w:ascii="Arial" w:hAnsi="Arial" w:cs="Arial"/>
              </w:rPr>
            </w:pPr>
            <w:r w:rsidRPr="00745A89">
              <w:rPr>
                <w:rFonts w:ascii="Arial" w:hAnsi="Arial" w:cs="Arial"/>
                <w:b/>
              </w:rPr>
              <w:t>ME</w:t>
            </w:r>
            <w:r>
              <w:rPr>
                <w:rFonts w:ascii="Arial" w:hAnsi="Arial" w:cs="Arial"/>
              </w:rPr>
              <w:t xml:space="preserve">: </w:t>
            </w:r>
            <w:r w:rsidRPr="00745A89">
              <w:rPr>
                <w:rFonts w:ascii="Arial" w:hAnsi="Arial" w:cs="Arial"/>
              </w:rPr>
              <w:t>The Maine Senate recently confirmed Philip Bartlett, a former state lawmaker and Democratic Party chair, to serve as a commissioner on the Maine Public Utilities Commission for a six-year term that extends to March 2025. Mills also designated Bartlett as PUC chair.</w:t>
            </w:r>
          </w:p>
          <w:p w:rsidR="00745A89" w:rsidRDefault="00745A89" w:rsidP="0061237E">
            <w:pPr>
              <w:rPr>
                <w:rFonts w:ascii="Arial" w:hAnsi="Arial" w:cs="Arial"/>
              </w:rPr>
            </w:pPr>
          </w:p>
          <w:p w:rsidR="00063A04" w:rsidRDefault="00745A89" w:rsidP="0061237E">
            <w:pPr>
              <w:rPr>
                <w:rFonts w:ascii="Arial" w:hAnsi="Arial" w:cs="Arial"/>
              </w:rPr>
            </w:pPr>
            <w:r w:rsidRPr="00745A89">
              <w:rPr>
                <w:rFonts w:ascii="Arial" w:hAnsi="Arial" w:cs="Arial"/>
                <w:b/>
              </w:rPr>
              <w:t>MI</w:t>
            </w:r>
            <w:r>
              <w:rPr>
                <w:rFonts w:ascii="Arial" w:hAnsi="Arial" w:cs="Arial"/>
              </w:rPr>
              <w:t xml:space="preserve">: </w:t>
            </w:r>
            <w:r w:rsidRPr="00745A89">
              <w:rPr>
                <w:rFonts w:ascii="Arial" w:hAnsi="Arial" w:cs="Arial"/>
              </w:rPr>
              <w:t xml:space="preserve">Gov. Whitmer recently named Tremaine Phillips to the Michigan PSC to serve a term expiring July 2, 2025. The appointment is subject to state Senate confirmation. He succeeds Norm </w:t>
            </w:r>
            <w:proofErr w:type="spellStart"/>
            <w:r w:rsidRPr="00745A89">
              <w:rPr>
                <w:rFonts w:ascii="Arial" w:hAnsi="Arial" w:cs="Arial"/>
              </w:rPr>
              <w:t>Saari</w:t>
            </w:r>
            <w:proofErr w:type="spellEnd"/>
            <w:r w:rsidRPr="00745A89">
              <w:rPr>
                <w:rFonts w:ascii="Arial" w:hAnsi="Arial" w:cs="Arial"/>
              </w:rPr>
              <w:t xml:space="preserve">, whose term expired July 2. Phillips' term will commence Sept. 9 and expire July 2, 2025. </w:t>
            </w:r>
          </w:p>
          <w:p w:rsidR="00745A89" w:rsidRDefault="00745A89" w:rsidP="0061237E">
            <w:pPr>
              <w:rPr>
                <w:rFonts w:ascii="Arial" w:hAnsi="Arial" w:cs="Arial"/>
              </w:rPr>
            </w:pPr>
          </w:p>
          <w:p w:rsidR="00745A89" w:rsidRDefault="00745A89" w:rsidP="0061237E">
            <w:pPr>
              <w:rPr>
                <w:rFonts w:ascii="Arial" w:hAnsi="Arial" w:cs="Arial"/>
              </w:rPr>
            </w:pPr>
            <w:r w:rsidRPr="00745A89">
              <w:rPr>
                <w:rFonts w:ascii="Arial" w:hAnsi="Arial" w:cs="Arial"/>
                <w:b/>
              </w:rPr>
              <w:t>NH</w:t>
            </w:r>
            <w:r>
              <w:rPr>
                <w:rFonts w:ascii="Arial" w:hAnsi="Arial" w:cs="Arial"/>
              </w:rPr>
              <w:t xml:space="preserve">: </w:t>
            </w:r>
            <w:r w:rsidRPr="00745A89">
              <w:rPr>
                <w:rFonts w:ascii="Arial" w:hAnsi="Arial" w:cs="Arial"/>
              </w:rPr>
              <w:t xml:space="preserve">Dianne Martin </w:t>
            </w:r>
            <w:r w:rsidR="00766FA9">
              <w:rPr>
                <w:rFonts w:ascii="Arial" w:hAnsi="Arial" w:cs="Arial"/>
              </w:rPr>
              <w:t xml:space="preserve">was nominated </w:t>
            </w:r>
            <w:r w:rsidRPr="00745A89">
              <w:rPr>
                <w:rFonts w:ascii="Arial" w:hAnsi="Arial" w:cs="Arial"/>
              </w:rPr>
              <w:t xml:space="preserve">to succeed Martin Honigberg as chair of the New Hampshire Public Utilities Commission. Honigberg </w:t>
            </w:r>
            <w:r w:rsidR="00766FA9">
              <w:rPr>
                <w:rFonts w:ascii="Arial" w:hAnsi="Arial" w:cs="Arial"/>
              </w:rPr>
              <w:t xml:space="preserve">resigned </w:t>
            </w:r>
            <w:r w:rsidRPr="00745A89">
              <w:rPr>
                <w:rFonts w:ascii="Arial" w:hAnsi="Arial" w:cs="Arial"/>
              </w:rPr>
              <w:t>on Aug. 29 to serve as a state Superior Court judge.</w:t>
            </w:r>
            <w:r>
              <w:rPr>
                <w:rFonts w:ascii="Arial" w:hAnsi="Arial" w:cs="Arial"/>
              </w:rPr>
              <w:t xml:space="preserve"> Confirmed by the Executive Council, </w:t>
            </w:r>
            <w:r w:rsidRPr="00745A89">
              <w:rPr>
                <w:rFonts w:ascii="Arial" w:hAnsi="Arial" w:cs="Arial"/>
              </w:rPr>
              <w:t>Martin’s new six-year term will extend to June 2025.</w:t>
            </w:r>
          </w:p>
          <w:p w:rsidR="00745A89" w:rsidRDefault="00745A89" w:rsidP="0061237E">
            <w:pPr>
              <w:rPr>
                <w:rFonts w:ascii="Arial" w:hAnsi="Arial" w:cs="Arial"/>
              </w:rPr>
            </w:pPr>
          </w:p>
          <w:p w:rsidR="00745A89" w:rsidRDefault="00745A89" w:rsidP="0061237E">
            <w:pPr>
              <w:rPr>
                <w:rFonts w:ascii="Arial" w:hAnsi="Arial" w:cs="Arial"/>
              </w:rPr>
            </w:pPr>
            <w:r w:rsidRPr="00AD3A1C">
              <w:rPr>
                <w:rFonts w:ascii="Arial" w:hAnsi="Arial" w:cs="Arial"/>
                <w:b/>
              </w:rPr>
              <w:t>PA</w:t>
            </w:r>
            <w:r>
              <w:rPr>
                <w:rFonts w:ascii="Arial" w:hAnsi="Arial" w:cs="Arial"/>
              </w:rPr>
              <w:t xml:space="preserve">: </w:t>
            </w:r>
            <w:r w:rsidR="00AD3A1C">
              <w:rPr>
                <w:rFonts w:ascii="Arial" w:hAnsi="Arial" w:cs="Arial"/>
              </w:rPr>
              <w:t xml:space="preserve">Commissioner </w:t>
            </w:r>
            <w:r w:rsidR="00AD3A1C" w:rsidRPr="00AD3A1C">
              <w:rPr>
                <w:rFonts w:ascii="Arial" w:hAnsi="Arial" w:cs="Arial"/>
              </w:rPr>
              <w:t xml:space="preserve">Norman Kennard participated in his last open commission meeting on Sept. 19. Kennard was serving beyond the end of a term that expired in April 2019 through the end of September. In June, Gov. Tom Wolf nominated Ralph </w:t>
            </w:r>
            <w:proofErr w:type="spellStart"/>
            <w:r w:rsidR="00AD3A1C" w:rsidRPr="00AD3A1C">
              <w:rPr>
                <w:rFonts w:ascii="Arial" w:hAnsi="Arial" w:cs="Arial"/>
              </w:rPr>
              <w:t>Yanora</w:t>
            </w:r>
            <w:proofErr w:type="spellEnd"/>
            <w:r w:rsidR="00AD3A1C" w:rsidRPr="00AD3A1C">
              <w:rPr>
                <w:rFonts w:ascii="Arial" w:hAnsi="Arial" w:cs="Arial"/>
              </w:rPr>
              <w:t xml:space="preserve"> to succeed Kennard. </w:t>
            </w:r>
          </w:p>
          <w:p w:rsidR="00766FA9" w:rsidRDefault="00766FA9" w:rsidP="0061237E">
            <w:pPr>
              <w:rPr>
                <w:rFonts w:ascii="Arial" w:hAnsi="Arial" w:cs="Arial"/>
                <w:b/>
                <w:u w:val="single"/>
              </w:rPr>
            </w:pPr>
          </w:p>
          <w:p w:rsidR="00745A89" w:rsidRDefault="00745A89" w:rsidP="0061237E">
            <w:pPr>
              <w:rPr>
                <w:rFonts w:ascii="Arial" w:hAnsi="Arial" w:cs="Arial"/>
              </w:rPr>
            </w:pPr>
            <w:r>
              <w:rPr>
                <w:rFonts w:ascii="Arial" w:hAnsi="Arial" w:cs="Arial"/>
                <w:b/>
              </w:rPr>
              <w:t xml:space="preserve">RI: </w:t>
            </w:r>
            <w:r w:rsidRPr="00745A89">
              <w:rPr>
                <w:rFonts w:ascii="Arial" w:hAnsi="Arial" w:cs="Arial"/>
              </w:rPr>
              <w:t>Laura Olton, nominated to chair the Rhode Island Public Utilities Commission, withdrew her name from consideration following issues that surfaced about her residency.</w:t>
            </w:r>
          </w:p>
          <w:p w:rsidR="00745A89" w:rsidRDefault="00745A89" w:rsidP="0061237E">
            <w:pPr>
              <w:rPr>
                <w:rFonts w:ascii="Arial" w:hAnsi="Arial" w:cs="Arial"/>
              </w:rPr>
            </w:pPr>
          </w:p>
          <w:p w:rsidR="00745A89" w:rsidRPr="00745A89" w:rsidRDefault="00745A89" w:rsidP="0061237E">
            <w:pPr>
              <w:rPr>
                <w:rFonts w:ascii="Arial" w:hAnsi="Arial" w:cs="Arial"/>
              </w:rPr>
            </w:pPr>
            <w:r w:rsidRPr="00745A89">
              <w:rPr>
                <w:rFonts w:ascii="Arial" w:hAnsi="Arial" w:cs="Arial"/>
                <w:b/>
              </w:rPr>
              <w:t>WV</w:t>
            </w:r>
            <w:r>
              <w:rPr>
                <w:rFonts w:ascii="Arial" w:hAnsi="Arial" w:cs="Arial"/>
              </w:rPr>
              <w:t xml:space="preserve">: </w:t>
            </w:r>
            <w:r w:rsidRPr="00745A89">
              <w:rPr>
                <w:rFonts w:ascii="Arial" w:hAnsi="Arial" w:cs="Arial"/>
              </w:rPr>
              <w:t>Gov. Jim Justice appointed Charlotte Lane to the </w:t>
            </w:r>
            <w:r>
              <w:rPr>
                <w:rFonts w:ascii="Arial" w:hAnsi="Arial" w:cs="Arial"/>
              </w:rPr>
              <w:t>P</w:t>
            </w:r>
            <w:r w:rsidRPr="00745A89">
              <w:rPr>
                <w:rFonts w:ascii="Arial" w:hAnsi="Arial" w:cs="Arial"/>
              </w:rPr>
              <w:t>SC</w:t>
            </w:r>
            <w:r>
              <w:rPr>
                <w:rFonts w:ascii="Arial" w:hAnsi="Arial" w:cs="Arial"/>
              </w:rPr>
              <w:t xml:space="preserve"> </w:t>
            </w:r>
            <w:r w:rsidRPr="00745A89">
              <w:rPr>
                <w:rFonts w:ascii="Arial" w:hAnsi="Arial" w:cs="Arial"/>
              </w:rPr>
              <w:t>for a term that extends to June 30, 2025. Lane will also serve as commission chairman. She is to begin serving immediately, but her appointment is subject to state Senate confirmation.</w:t>
            </w:r>
          </w:p>
          <w:p w:rsidR="00745A89" w:rsidRPr="00745A89" w:rsidRDefault="00745A89" w:rsidP="0061237E">
            <w:pPr>
              <w:rPr>
                <w:rFonts w:ascii="Arial" w:hAnsi="Arial" w:cs="Arial"/>
                <w:u w:val="single"/>
              </w:rPr>
            </w:pPr>
          </w:p>
          <w:p w:rsidR="008A2C67" w:rsidRPr="00F31B28" w:rsidRDefault="008A2C67" w:rsidP="0061237E">
            <w:pPr>
              <w:rPr>
                <w:rFonts w:ascii="Arial" w:hAnsi="Arial" w:cs="Arial"/>
                <w:b/>
                <w:u w:val="single"/>
              </w:rPr>
            </w:pPr>
            <w:r w:rsidRPr="00F31B28">
              <w:rPr>
                <w:rFonts w:ascii="Arial" w:hAnsi="Arial" w:cs="Arial"/>
                <w:b/>
                <w:u w:val="single"/>
              </w:rPr>
              <w:t xml:space="preserve">Other Noteworthy Regulatory Action </w:t>
            </w:r>
          </w:p>
          <w:p w:rsidR="003A0B49" w:rsidRPr="003153D5" w:rsidRDefault="00C11406" w:rsidP="0061237E">
            <w:pPr>
              <w:rPr>
                <w:rFonts w:ascii="Arial" w:hAnsi="Arial" w:cs="Arial"/>
              </w:rPr>
            </w:pPr>
            <w:r w:rsidRPr="00F31B28">
              <w:rPr>
                <w:rFonts w:ascii="Arial" w:hAnsi="Arial" w:cs="Arial"/>
                <w:b/>
              </w:rPr>
              <w:t xml:space="preserve">The following </w:t>
            </w:r>
            <w:proofErr w:type="gramStart"/>
            <w:r w:rsidRPr="00F31B28">
              <w:rPr>
                <w:rFonts w:ascii="Arial" w:hAnsi="Arial" w:cs="Arial"/>
                <w:b/>
              </w:rPr>
              <w:t>companies initiated</w:t>
            </w:r>
            <w:proofErr w:type="gramEnd"/>
            <w:r w:rsidRPr="00F31B28">
              <w:rPr>
                <w:rFonts w:ascii="Arial" w:hAnsi="Arial" w:cs="Arial"/>
                <w:b/>
              </w:rPr>
              <w:t xml:space="preserve"> rate proceedings</w:t>
            </w:r>
            <w:r w:rsidR="00E848FE" w:rsidRPr="00F31B28">
              <w:rPr>
                <w:rFonts w:ascii="Arial" w:hAnsi="Arial" w:cs="Arial"/>
                <w:b/>
              </w:rPr>
              <w:t xml:space="preserve"> during Q</w:t>
            </w:r>
            <w:r w:rsidR="003153D5">
              <w:rPr>
                <w:rFonts w:ascii="Arial" w:hAnsi="Arial" w:cs="Arial"/>
                <w:b/>
              </w:rPr>
              <w:t>3</w:t>
            </w:r>
            <w:r w:rsidR="00E848FE" w:rsidRPr="00F31B28">
              <w:rPr>
                <w:rFonts w:ascii="Arial" w:hAnsi="Arial" w:cs="Arial"/>
                <w:b/>
              </w:rPr>
              <w:t xml:space="preserve"> 201</w:t>
            </w:r>
            <w:r w:rsidR="00697541" w:rsidRPr="00F31B28">
              <w:rPr>
                <w:rFonts w:ascii="Arial" w:hAnsi="Arial" w:cs="Arial"/>
                <w:b/>
              </w:rPr>
              <w:t>9</w:t>
            </w:r>
            <w:r w:rsidR="00E848FE" w:rsidRPr="00F31B28">
              <w:rPr>
                <w:rFonts w:ascii="Arial" w:hAnsi="Arial" w:cs="Arial"/>
                <w:b/>
              </w:rPr>
              <w:t>:</w:t>
            </w:r>
            <w:r w:rsidR="00745728">
              <w:rPr>
                <w:rFonts w:ascii="Arial" w:hAnsi="Arial" w:cs="Arial"/>
                <w:b/>
              </w:rPr>
              <w:t xml:space="preserve"> </w:t>
            </w:r>
            <w:r w:rsidR="003153D5">
              <w:rPr>
                <w:rFonts w:ascii="Arial" w:hAnsi="Arial" w:cs="Arial"/>
              </w:rPr>
              <w:t>Questar Gas Co. (UT), Columbia Gas of Virginia (VA), Kansas Gas Service Co. (KS), Washington Gas Light Co. (VA), Fitchburg Gas &amp; Electric Light (MA), and NSTAR Gas Co. (MA).</w:t>
            </w:r>
          </w:p>
          <w:p w:rsidR="003153D5" w:rsidRDefault="003153D5" w:rsidP="0061237E">
            <w:pPr>
              <w:rPr>
                <w:rFonts w:ascii="Arial" w:hAnsi="Arial" w:cs="Arial"/>
                <w:b/>
                <w:u w:val="single"/>
              </w:rPr>
            </w:pPr>
          </w:p>
          <w:p w:rsidR="0066650B" w:rsidRDefault="0066650B" w:rsidP="0061237E">
            <w:pPr>
              <w:rPr>
                <w:rFonts w:ascii="Arial" w:hAnsi="Arial" w:cs="Arial"/>
                <w:b/>
                <w:u w:val="single"/>
              </w:rPr>
            </w:pPr>
            <w:r>
              <w:rPr>
                <w:rFonts w:ascii="Arial" w:hAnsi="Arial" w:cs="Arial"/>
                <w:b/>
                <w:u w:val="single"/>
              </w:rPr>
              <w:t>M&amp;A Activity</w:t>
            </w:r>
          </w:p>
          <w:p w:rsidR="00940660" w:rsidRPr="00766FA9" w:rsidRDefault="00ED6FA2" w:rsidP="00AD3A1C">
            <w:pPr>
              <w:rPr>
                <w:rFonts w:ascii="Helvetica" w:hAnsi="Helvetica" w:cs="Helvetica"/>
                <w:color w:val="000000"/>
                <w:sz w:val="21"/>
                <w:szCs w:val="21"/>
              </w:rPr>
            </w:pPr>
            <w:r w:rsidRPr="00ED6FA2">
              <w:rPr>
                <w:rFonts w:ascii="Arial" w:hAnsi="Arial" w:cs="Arial"/>
                <w:b/>
              </w:rPr>
              <w:t>Aqua America Inc./Peoples Natural Gas Co. LLC</w:t>
            </w:r>
            <w:r w:rsidRPr="00ED6FA2">
              <w:rPr>
                <w:rFonts w:ascii="Arial" w:hAnsi="Arial" w:cs="Arial"/>
              </w:rPr>
              <w:t xml:space="preserve"> —</w:t>
            </w:r>
            <w:r w:rsidR="00AD3A1C" w:rsidRPr="00AD3A1C">
              <w:rPr>
                <w:rFonts w:ascii="Helvetica" w:hAnsi="Helvetica" w:cs="Helvetica"/>
                <w:color w:val="000000"/>
                <w:sz w:val="21"/>
                <w:szCs w:val="21"/>
              </w:rPr>
              <w:t xml:space="preserve"> Aqua America Inc. agreed to acquire PNG Companies LLC from infrastructure funds managed by </w:t>
            </w:r>
            <w:proofErr w:type="spellStart"/>
            <w:r w:rsidR="00AD3A1C" w:rsidRPr="00AD3A1C">
              <w:rPr>
                <w:rFonts w:ascii="Helvetica" w:hAnsi="Helvetica" w:cs="Helvetica"/>
                <w:color w:val="000000"/>
                <w:sz w:val="21"/>
                <w:szCs w:val="21"/>
              </w:rPr>
              <w:t>SteelRiver</w:t>
            </w:r>
            <w:proofErr w:type="spellEnd"/>
            <w:r w:rsidR="00AD3A1C" w:rsidRPr="00AD3A1C">
              <w:rPr>
                <w:rFonts w:ascii="Helvetica" w:hAnsi="Helvetica" w:cs="Helvetica"/>
                <w:color w:val="000000"/>
                <w:sz w:val="21"/>
                <w:szCs w:val="21"/>
              </w:rPr>
              <w:t xml:space="preserve"> Infrastructure Partners LP in an all-cash deal valuing the natural gas distribution company at approximately $4.28 billion.</w:t>
            </w:r>
            <w:r w:rsidR="003153D5" w:rsidRPr="003153D5">
              <w:rPr>
                <w:rFonts w:ascii="Helvetica" w:hAnsi="Helvetica" w:cs="Helvetica"/>
                <w:color w:val="000000"/>
                <w:sz w:val="21"/>
                <w:szCs w:val="21"/>
              </w:rPr>
              <w:t xml:space="preserve"> Aqua America plans to fund the deal through a fully committed bridge facility. The deal is scheduled to close in mid-2019, pending regulatory approvals from the public utility commissions of Pennsylvania, Kentucky and West Virginia.</w:t>
            </w:r>
          </w:p>
        </w:tc>
      </w:tr>
      <w:tr w:rsidR="00DE3CEE" w:rsidRPr="00B51D1F" w:rsidTr="004E793E">
        <w:trPr>
          <w:trHeight w:val="279"/>
        </w:trPr>
        <w:tc>
          <w:tcPr>
            <w:tcW w:w="9895" w:type="dxa"/>
            <w:gridSpan w:val="2"/>
            <w:tcBorders>
              <w:top w:val="nil"/>
            </w:tcBorders>
            <w:shd w:val="clear" w:color="auto" w:fill="1F4E79" w:themeFill="accent1" w:themeFillShade="80"/>
          </w:tcPr>
          <w:p w:rsidR="00DE3CEE" w:rsidRPr="001F5597" w:rsidRDefault="001A22FE" w:rsidP="001A22FE">
            <w:pPr>
              <w:jc w:val="center"/>
              <w:rPr>
                <w:rFonts w:ascii="Arial" w:hAnsi="Arial" w:cs="Arial"/>
                <w:b/>
                <w:color w:val="FFFFFF" w:themeColor="background1"/>
                <w:sz w:val="36"/>
                <w:szCs w:val="36"/>
              </w:rPr>
            </w:pPr>
            <w:r w:rsidRPr="001F5597">
              <w:rPr>
                <w:rFonts w:ascii="Arial" w:hAnsi="Arial" w:cs="Arial"/>
                <w:b/>
                <w:color w:val="FFFFFF" w:themeColor="background1"/>
                <w:sz w:val="36"/>
                <w:szCs w:val="36"/>
              </w:rPr>
              <w:lastRenderedPageBreak/>
              <w:t xml:space="preserve">Rate Case Decisions </w:t>
            </w:r>
          </w:p>
        </w:tc>
      </w:tr>
      <w:tr w:rsidR="009B2D68" w:rsidRPr="00B51D1F" w:rsidTr="004E793E">
        <w:trPr>
          <w:trHeight w:val="279"/>
        </w:trPr>
        <w:tc>
          <w:tcPr>
            <w:tcW w:w="9895" w:type="dxa"/>
            <w:gridSpan w:val="2"/>
            <w:shd w:val="clear" w:color="auto" w:fill="1F4E79" w:themeFill="accent1" w:themeFillShade="80"/>
          </w:tcPr>
          <w:p w:rsidR="009B2D68" w:rsidRPr="00B51D1F" w:rsidRDefault="006F7D43" w:rsidP="00376064">
            <w:pPr>
              <w:jc w:val="center"/>
              <w:rPr>
                <w:rFonts w:ascii="Arial" w:hAnsi="Arial" w:cs="Arial"/>
                <w:b/>
                <w:color w:val="FFFFFF" w:themeColor="background1"/>
              </w:rPr>
            </w:pPr>
            <w:r>
              <w:rPr>
                <w:rFonts w:ascii="Arial" w:hAnsi="Arial" w:cs="Arial"/>
                <w:b/>
                <w:color w:val="FFFFFF" w:themeColor="background1"/>
              </w:rPr>
              <w:t>July</w:t>
            </w:r>
            <w:r w:rsidR="00F72025">
              <w:rPr>
                <w:rFonts w:ascii="Arial" w:hAnsi="Arial" w:cs="Arial"/>
                <w:b/>
                <w:color w:val="FFFFFF" w:themeColor="background1"/>
              </w:rPr>
              <w:t xml:space="preserve"> </w:t>
            </w:r>
            <w:r>
              <w:rPr>
                <w:rFonts w:ascii="Arial" w:hAnsi="Arial" w:cs="Arial"/>
                <w:b/>
                <w:color w:val="FFFFFF" w:themeColor="background1"/>
              </w:rPr>
              <w:t>17</w:t>
            </w:r>
            <w:r w:rsidR="00F72025">
              <w:rPr>
                <w:rFonts w:ascii="Arial" w:hAnsi="Arial" w:cs="Arial"/>
                <w:b/>
                <w:color w:val="FFFFFF" w:themeColor="background1"/>
              </w:rPr>
              <w:t>, 2019</w:t>
            </w:r>
          </w:p>
        </w:tc>
      </w:tr>
      <w:tr w:rsidR="009B2D68" w:rsidRPr="00B51D1F" w:rsidTr="002E5982">
        <w:trPr>
          <w:trHeight w:val="279"/>
        </w:trPr>
        <w:tc>
          <w:tcPr>
            <w:tcW w:w="2245" w:type="dxa"/>
            <w:shd w:val="clear" w:color="auto" w:fill="1F4E79" w:themeFill="accent1" w:themeFillShade="80"/>
          </w:tcPr>
          <w:p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Company</w:t>
            </w:r>
          </w:p>
        </w:tc>
        <w:tc>
          <w:tcPr>
            <w:tcW w:w="7650" w:type="dxa"/>
            <w:shd w:val="clear" w:color="auto" w:fill="auto"/>
          </w:tcPr>
          <w:p w:rsidR="009B2D68" w:rsidRPr="00B51D1F" w:rsidRDefault="003153D5" w:rsidP="00C03B0F">
            <w:pPr>
              <w:rPr>
                <w:rFonts w:ascii="Arial" w:hAnsi="Arial" w:cs="Arial"/>
              </w:rPr>
            </w:pPr>
            <w:r>
              <w:rPr>
                <w:rFonts w:ascii="Arial" w:hAnsi="Arial" w:cs="Arial"/>
              </w:rPr>
              <w:t>New Mexico Gas Co.</w:t>
            </w:r>
          </w:p>
        </w:tc>
      </w:tr>
      <w:tr w:rsidR="009B2D68" w:rsidRPr="00B51D1F" w:rsidTr="002E5982">
        <w:trPr>
          <w:trHeight w:val="279"/>
        </w:trPr>
        <w:tc>
          <w:tcPr>
            <w:tcW w:w="2245" w:type="dxa"/>
            <w:shd w:val="clear" w:color="auto" w:fill="1F4E79" w:themeFill="accent1" w:themeFillShade="80"/>
          </w:tcPr>
          <w:p w:rsidR="009B2D68" w:rsidRPr="00B51D1F" w:rsidRDefault="003A0B49" w:rsidP="005A2F42">
            <w:pPr>
              <w:rPr>
                <w:rFonts w:ascii="Arial" w:hAnsi="Arial" w:cs="Arial"/>
                <w:b/>
                <w:color w:val="FFFFFF" w:themeColor="background1"/>
              </w:rPr>
            </w:pPr>
            <w:r>
              <w:rPr>
                <w:rFonts w:ascii="Arial" w:hAnsi="Arial" w:cs="Arial"/>
                <w:b/>
                <w:color w:val="FFFFFF" w:themeColor="background1"/>
              </w:rPr>
              <w:t>State</w:t>
            </w:r>
          </w:p>
        </w:tc>
        <w:tc>
          <w:tcPr>
            <w:tcW w:w="7650" w:type="dxa"/>
            <w:shd w:val="clear" w:color="auto" w:fill="auto"/>
          </w:tcPr>
          <w:p w:rsidR="009B2D68" w:rsidRPr="00B51D1F" w:rsidRDefault="003153D5" w:rsidP="00CD3DC9">
            <w:pPr>
              <w:rPr>
                <w:rFonts w:ascii="Arial" w:hAnsi="Arial" w:cs="Arial"/>
              </w:rPr>
            </w:pPr>
            <w:r>
              <w:rPr>
                <w:rFonts w:ascii="Arial" w:hAnsi="Arial" w:cs="Arial"/>
              </w:rPr>
              <w:t>New Mexico</w:t>
            </w:r>
          </w:p>
        </w:tc>
      </w:tr>
      <w:tr w:rsidR="009B2D68" w:rsidRPr="00B51D1F" w:rsidTr="002E5982">
        <w:trPr>
          <w:trHeight w:val="279"/>
        </w:trPr>
        <w:tc>
          <w:tcPr>
            <w:tcW w:w="2245" w:type="dxa"/>
            <w:shd w:val="clear" w:color="auto" w:fill="1F4E79" w:themeFill="accent1" w:themeFillShade="80"/>
          </w:tcPr>
          <w:p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shd w:val="clear" w:color="auto" w:fill="auto"/>
          </w:tcPr>
          <w:p w:rsidR="009B2D68" w:rsidRPr="00E40DE3" w:rsidRDefault="003153D5" w:rsidP="004262A4">
            <w:pPr>
              <w:rPr>
                <w:rFonts w:ascii="Arial" w:hAnsi="Arial" w:cs="Arial"/>
                <w:color w:val="0000FF"/>
              </w:rPr>
            </w:pPr>
            <w:hyperlink r:id="rId9" w:history="1">
              <w:r w:rsidRPr="003153D5">
                <w:rPr>
                  <w:rStyle w:val="Hyperlink"/>
                  <w:rFonts w:ascii="Arial" w:hAnsi="Arial" w:cs="Arial"/>
                </w:rPr>
                <w:t>Case No. 18-00038-UT</w:t>
              </w:r>
            </w:hyperlink>
          </w:p>
        </w:tc>
      </w:tr>
      <w:tr w:rsidR="009B2D68" w:rsidRPr="00B51D1F" w:rsidTr="002E5982">
        <w:trPr>
          <w:trHeight w:val="279"/>
        </w:trPr>
        <w:tc>
          <w:tcPr>
            <w:tcW w:w="2245" w:type="dxa"/>
            <w:shd w:val="clear" w:color="auto" w:fill="1F4E79" w:themeFill="accent1" w:themeFillShade="80"/>
          </w:tcPr>
          <w:p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shd w:val="clear" w:color="auto" w:fill="auto"/>
          </w:tcPr>
          <w:p w:rsidR="009B2D68" w:rsidRPr="00B51D1F" w:rsidRDefault="003153D5" w:rsidP="006F213E">
            <w:pPr>
              <w:rPr>
                <w:rFonts w:ascii="Arial" w:hAnsi="Arial" w:cs="Arial"/>
              </w:rPr>
            </w:pPr>
            <w:r>
              <w:rPr>
                <w:rFonts w:ascii="Arial" w:hAnsi="Arial" w:cs="Arial"/>
              </w:rPr>
              <w:t>$2.5 million</w:t>
            </w:r>
          </w:p>
        </w:tc>
      </w:tr>
      <w:tr w:rsidR="009B2D68" w:rsidRPr="00B51D1F" w:rsidTr="002E5982">
        <w:trPr>
          <w:trHeight w:val="279"/>
        </w:trPr>
        <w:tc>
          <w:tcPr>
            <w:tcW w:w="2245" w:type="dxa"/>
            <w:shd w:val="clear" w:color="auto" w:fill="1F4E79" w:themeFill="accent1" w:themeFillShade="80"/>
          </w:tcPr>
          <w:p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shd w:val="clear" w:color="auto" w:fill="auto"/>
          </w:tcPr>
          <w:p w:rsidR="009B2D68" w:rsidRPr="00B51D1F" w:rsidRDefault="009B2D68" w:rsidP="005D2082">
            <w:pPr>
              <w:rPr>
                <w:rFonts w:ascii="Arial" w:hAnsi="Arial" w:cs="Arial"/>
              </w:rPr>
            </w:pPr>
          </w:p>
        </w:tc>
      </w:tr>
      <w:tr w:rsidR="005A2F42" w:rsidRPr="00B51D1F" w:rsidTr="002E5982">
        <w:trPr>
          <w:trHeight w:val="279"/>
        </w:trPr>
        <w:tc>
          <w:tcPr>
            <w:tcW w:w="2245" w:type="dxa"/>
            <w:shd w:val="clear" w:color="auto" w:fill="1F4E79" w:themeFill="accent1" w:themeFillShade="80"/>
          </w:tcPr>
          <w:p w:rsidR="005A2F42" w:rsidRPr="00B51D1F" w:rsidRDefault="005A2F42" w:rsidP="005A2F42">
            <w:pPr>
              <w:rPr>
                <w:rFonts w:ascii="Arial" w:hAnsi="Arial" w:cs="Arial"/>
                <w:b/>
                <w:color w:val="FFFFFF" w:themeColor="background1"/>
              </w:rPr>
            </w:pPr>
            <w:r w:rsidRPr="00B51D1F">
              <w:rPr>
                <w:rFonts w:ascii="Arial" w:hAnsi="Arial" w:cs="Arial"/>
                <w:b/>
                <w:color w:val="FFFFFF" w:themeColor="background1"/>
              </w:rPr>
              <w:t>Intervenors</w:t>
            </w:r>
          </w:p>
        </w:tc>
        <w:tc>
          <w:tcPr>
            <w:tcW w:w="7650" w:type="dxa"/>
            <w:shd w:val="clear" w:color="auto" w:fill="auto"/>
          </w:tcPr>
          <w:p w:rsidR="005A2F42" w:rsidRPr="00B51D1F" w:rsidRDefault="00615FF3" w:rsidP="00FD1550">
            <w:pPr>
              <w:rPr>
                <w:rFonts w:ascii="Arial" w:hAnsi="Arial" w:cs="Arial"/>
              </w:rPr>
            </w:pPr>
            <w:r>
              <w:rPr>
                <w:rFonts w:ascii="Arial" w:hAnsi="Arial" w:cs="Arial"/>
              </w:rPr>
              <w:t>New Mexico Attorney General, US Department of Energy, National Nuclear Security Administration, and New Mexico Industrial Energy Consumers</w:t>
            </w:r>
          </w:p>
        </w:tc>
      </w:tr>
      <w:tr w:rsidR="005A2F42" w:rsidRPr="00B51D1F" w:rsidTr="004E793E">
        <w:trPr>
          <w:trHeight w:val="287"/>
        </w:trPr>
        <w:tc>
          <w:tcPr>
            <w:tcW w:w="9895" w:type="dxa"/>
            <w:gridSpan w:val="2"/>
            <w:shd w:val="clear" w:color="auto" w:fill="1F4E79" w:themeFill="accent1" w:themeFillShade="80"/>
          </w:tcPr>
          <w:p w:rsidR="005A2F42" w:rsidRPr="00B51D1F" w:rsidRDefault="005A2F42" w:rsidP="009B2D68">
            <w:pPr>
              <w:jc w:val="center"/>
              <w:rPr>
                <w:rFonts w:ascii="Arial" w:hAnsi="Arial" w:cs="Arial"/>
                <w:b/>
                <w:color w:val="FFFFFF" w:themeColor="background1"/>
              </w:rPr>
            </w:pPr>
            <w:r w:rsidRPr="00B51D1F">
              <w:rPr>
                <w:rFonts w:ascii="Arial" w:hAnsi="Arial" w:cs="Arial"/>
                <w:b/>
                <w:color w:val="FFFFFF" w:themeColor="background1"/>
              </w:rPr>
              <w:t>Case Summary</w:t>
            </w:r>
          </w:p>
        </w:tc>
      </w:tr>
      <w:tr w:rsidR="005A2F42" w:rsidRPr="00B51D1F" w:rsidTr="004E793E">
        <w:trPr>
          <w:trHeight w:val="279"/>
        </w:trPr>
        <w:tc>
          <w:tcPr>
            <w:tcW w:w="9895" w:type="dxa"/>
            <w:gridSpan w:val="2"/>
            <w:shd w:val="clear" w:color="auto" w:fill="auto"/>
          </w:tcPr>
          <w:p w:rsidR="005858C3" w:rsidRDefault="00615FF3" w:rsidP="003E686B">
            <w:pPr>
              <w:rPr>
                <w:rFonts w:ascii="Arial" w:hAnsi="Arial" w:cs="Arial"/>
              </w:rPr>
            </w:pPr>
            <w:r>
              <w:rPr>
                <w:rFonts w:ascii="Arial" w:hAnsi="Arial" w:cs="Arial"/>
              </w:rPr>
              <w:t xml:space="preserve">On July 17, 2019 </w:t>
            </w:r>
            <w:r w:rsidRPr="00615FF3">
              <w:rPr>
                <w:rFonts w:ascii="Arial" w:hAnsi="Arial" w:cs="Arial"/>
              </w:rPr>
              <w:t>the New Mexico Public Regulation Commission</w:t>
            </w:r>
            <w:r>
              <w:rPr>
                <w:rFonts w:ascii="Arial" w:hAnsi="Arial" w:cs="Arial"/>
              </w:rPr>
              <w:t xml:space="preserve"> </w:t>
            </w:r>
            <w:r w:rsidRPr="00615FF3">
              <w:rPr>
                <w:rFonts w:ascii="Arial" w:hAnsi="Arial" w:cs="Arial"/>
              </w:rPr>
              <w:t>adopted a settlement authorizing New Mexico Gas Company a $2.5 million two-step rate increase, less than one-third of the single-step increase initially sought by the company.</w:t>
            </w:r>
          </w:p>
          <w:p w:rsidR="00615FF3" w:rsidRDefault="00615FF3" w:rsidP="003E686B">
            <w:pPr>
              <w:rPr>
                <w:rFonts w:ascii="Arial" w:hAnsi="Arial" w:cs="Arial"/>
              </w:rPr>
            </w:pPr>
          </w:p>
          <w:p w:rsidR="00615FF3" w:rsidRDefault="00615FF3" w:rsidP="00615FF3">
            <w:pPr>
              <w:rPr>
                <w:rFonts w:ascii="Arial" w:hAnsi="Arial" w:cs="Arial"/>
              </w:rPr>
            </w:pPr>
            <w:r w:rsidRPr="00615FF3">
              <w:rPr>
                <w:rFonts w:ascii="Arial" w:hAnsi="Arial" w:cs="Arial"/>
              </w:rPr>
              <w:t>The agreement</w:t>
            </w:r>
            <w:r>
              <w:rPr>
                <w:rFonts w:ascii="Arial" w:hAnsi="Arial" w:cs="Arial"/>
              </w:rPr>
              <w:t xml:space="preserve"> </w:t>
            </w:r>
            <w:r w:rsidRPr="00615FF3">
              <w:rPr>
                <w:rFonts w:ascii="Arial" w:hAnsi="Arial" w:cs="Arial"/>
              </w:rPr>
              <w:t>and order are silent with respect to the rate of return and other ratemaking</w:t>
            </w:r>
            <w:r>
              <w:rPr>
                <w:rFonts w:ascii="Arial" w:hAnsi="Arial" w:cs="Arial"/>
              </w:rPr>
              <w:t xml:space="preserve"> </w:t>
            </w:r>
            <w:r w:rsidRPr="00615FF3">
              <w:rPr>
                <w:rFonts w:ascii="Arial" w:hAnsi="Arial" w:cs="Arial"/>
              </w:rPr>
              <w:t>parameters underlying the stipulated rate increase. While no specific</w:t>
            </w:r>
            <w:r>
              <w:rPr>
                <w:rFonts w:ascii="Arial" w:hAnsi="Arial" w:cs="Arial"/>
              </w:rPr>
              <w:t xml:space="preserve"> </w:t>
            </w:r>
            <w:r w:rsidRPr="00615FF3">
              <w:rPr>
                <w:rFonts w:ascii="Arial" w:hAnsi="Arial" w:cs="Arial"/>
              </w:rPr>
              <w:t>ratemaking adjustments were identified, it is important to note that the case</w:t>
            </w:r>
            <w:r>
              <w:rPr>
                <w:rFonts w:ascii="Arial" w:hAnsi="Arial" w:cs="Arial"/>
              </w:rPr>
              <w:t xml:space="preserve"> </w:t>
            </w:r>
            <w:r w:rsidRPr="00615FF3">
              <w:rPr>
                <w:rFonts w:ascii="Arial" w:hAnsi="Arial" w:cs="Arial"/>
              </w:rPr>
              <w:t>relies on a test year that was historical at the time the proceeding was initiated,</w:t>
            </w:r>
            <w:r>
              <w:rPr>
                <w:rFonts w:ascii="Arial" w:hAnsi="Arial" w:cs="Arial"/>
              </w:rPr>
              <w:t xml:space="preserve"> </w:t>
            </w:r>
            <w:r w:rsidRPr="00615FF3">
              <w:rPr>
                <w:rFonts w:ascii="Arial" w:hAnsi="Arial" w:cs="Arial"/>
              </w:rPr>
              <w:t>and because it took more than 17 months for the case to be decided, the test</w:t>
            </w:r>
            <w:r>
              <w:rPr>
                <w:rFonts w:ascii="Arial" w:hAnsi="Arial" w:cs="Arial"/>
              </w:rPr>
              <w:t xml:space="preserve"> </w:t>
            </w:r>
            <w:r w:rsidRPr="00615FF3">
              <w:rPr>
                <w:rFonts w:ascii="Arial" w:hAnsi="Arial" w:cs="Arial"/>
              </w:rPr>
              <w:t>year was close to two years old when the company was permitted to implement</w:t>
            </w:r>
            <w:r>
              <w:rPr>
                <w:rFonts w:ascii="Arial" w:hAnsi="Arial" w:cs="Arial"/>
              </w:rPr>
              <w:t xml:space="preserve"> </w:t>
            </w:r>
            <w:r w:rsidRPr="00615FF3">
              <w:rPr>
                <w:rFonts w:ascii="Arial" w:hAnsi="Arial" w:cs="Arial"/>
              </w:rPr>
              <w:t xml:space="preserve">the first step of the </w:t>
            </w:r>
            <w:r w:rsidR="005C3ABB">
              <w:rPr>
                <w:rFonts w:ascii="Arial" w:hAnsi="Arial" w:cs="Arial"/>
              </w:rPr>
              <w:t xml:space="preserve">rate </w:t>
            </w:r>
            <w:r w:rsidRPr="00615FF3">
              <w:rPr>
                <w:rFonts w:ascii="Arial" w:hAnsi="Arial" w:cs="Arial"/>
              </w:rPr>
              <w:t>increase in August 2019.</w:t>
            </w:r>
          </w:p>
          <w:p w:rsidR="00615FF3" w:rsidRDefault="00615FF3" w:rsidP="003E686B">
            <w:pPr>
              <w:rPr>
                <w:rFonts w:ascii="Arial" w:hAnsi="Arial" w:cs="Arial"/>
              </w:rPr>
            </w:pPr>
          </w:p>
          <w:p w:rsidR="00DA0C12" w:rsidRDefault="00DA0C12" w:rsidP="00DA0C12">
            <w:pPr>
              <w:rPr>
                <w:rFonts w:ascii="Arial" w:hAnsi="Arial" w:cs="Arial"/>
              </w:rPr>
            </w:pPr>
            <w:r w:rsidRPr="00DA0C12">
              <w:rPr>
                <w:rFonts w:ascii="Arial" w:hAnsi="Arial" w:cs="Arial"/>
              </w:rPr>
              <w:t>Per the Phase 1 settlement, the PRC order authorized NMGC a $2.5 million two-step increase. The $1 million first</w:t>
            </w:r>
            <w:r w:rsidR="006F7D43">
              <w:rPr>
                <w:rFonts w:ascii="Arial" w:hAnsi="Arial" w:cs="Arial"/>
              </w:rPr>
              <w:t xml:space="preserve"> </w:t>
            </w:r>
            <w:r w:rsidRPr="00DA0C12">
              <w:rPr>
                <w:rFonts w:ascii="Arial" w:hAnsi="Arial" w:cs="Arial"/>
              </w:rPr>
              <w:t>step rate increase was implemented with the first billing cycle in August 2019, and an incremental $1.5 million</w:t>
            </w:r>
            <w:r>
              <w:rPr>
                <w:rFonts w:ascii="Arial" w:hAnsi="Arial" w:cs="Arial"/>
              </w:rPr>
              <w:t xml:space="preserve"> </w:t>
            </w:r>
            <w:r w:rsidRPr="00DA0C12">
              <w:rPr>
                <w:rFonts w:ascii="Arial" w:hAnsi="Arial" w:cs="Arial"/>
              </w:rPr>
              <w:t>second-step increase is to become effective with the first billing cycle in August 2020.</w:t>
            </w:r>
          </w:p>
          <w:p w:rsidR="00DA0C12" w:rsidRDefault="00DA0C12" w:rsidP="00DA0C12">
            <w:pPr>
              <w:rPr>
                <w:rFonts w:ascii="Arial" w:hAnsi="Arial" w:cs="Arial"/>
              </w:rPr>
            </w:pPr>
          </w:p>
          <w:p w:rsidR="00DA0C12" w:rsidRDefault="006F7D43" w:rsidP="006F7D43">
            <w:pPr>
              <w:rPr>
                <w:rFonts w:ascii="Arial" w:hAnsi="Arial" w:cs="Arial"/>
              </w:rPr>
            </w:pPr>
            <w:r>
              <w:rPr>
                <w:rFonts w:ascii="Arial" w:hAnsi="Arial" w:cs="Arial"/>
              </w:rPr>
              <w:t>The settlement allows for a pilot</w:t>
            </w:r>
            <w:r w:rsidRPr="006F7D43">
              <w:rPr>
                <w:rFonts w:ascii="Arial" w:hAnsi="Arial" w:cs="Arial"/>
              </w:rPr>
              <w:t xml:space="preserve"> weather normalization</w:t>
            </w:r>
            <w:r>
              <w:rPr>
                <w:rFonts w:ascii="Arial" w:hAnsi="Arial" w:cs="Arial"/>
              </w:rPr>
              <w:t xml:space="preserve"> </w:t>
            </w:r>
            <w:r w:rsidRPr="006F7D43">
              <w:rPr>
                <w:rFonts w:ascii="Arial" w:hAnsi="Arial" w:cs="Arial"/>
              </w:rPr>
              <w:t>adjustment</w:t>
            </w:r>
            <w:r>
              <w:rPr>
                <w:rFonts w:ascii="Arial" w:hAnsi="Arial" w:cs="Arial"/>
              </w:rPr>
              <w:t xml:space="preserve"> program </w:t>
            </w:r>
            <w:r w:rsidRPr="006F7D43">
              <w:rPr>
                <w:rFonts w:ascii="Arial" w:hAnsi="Arial" w:cs="Arial"/>
              </w:rPr>
              <w:t>appl</w:t>
            </w:r>
            <w:r>
              <w:rPr>
                <w:rFonts w:ascii="Arial" w:hAnsi="Arial" w:cs="Arial"/>
              </w:rPr>
              <w:t>ied</w:t>
            </w:r>
            <w:r w:rsidRPr="006F7D43">
              <w:rPr>
                <w:rFonts w:ascii="Arial" w:hAnsi="Arial" w:cs="Arial"/>
              </w:rPr>
              <w:t xml:space="preserve"> to the residential and small general service classes.</w:t>
            </w:r>
            <w:r>
              <w:t xml:space="preserve"> T</w:t>
            </w:r>
            <w:r w:rsidRPr="006F7D43">
              <w:rPr>
                <w:rFonts w:ascii="Arial" w:hAnsi="Arial" w:cs="Arial"/>
              </w:rPr>
              <w:t>he WNA is to be in place for a five-year period, beginning with the first</w:t>
            </w:r>
            <w:r>
              <w:rPr>
                <w:rFonts w:ascii="Arial" w:hAnsi="Arial" w:cs="Arial"/>
              </w:rPr>
              <w:t xml:space="preserve"> </w:t>
            </w:r>
            <w:r w:rsidRPr="006F7D43">
              <w:rPr>
                <w:rFonts w:ascii="Arial" w:hAnsi="Arial" w:cs="Arial"/>
              </w:rPr>
              <w:t>billing cycle in October</w:t>
            </w:r>
            <w:r>
              <w:rPr>
                <w:rFonts w:ascii="Arial" w:hAnsi="Arial" w:cs="Arial"/>
              </w:rPr>
              <w:t>.</w:t>
            </w:r>
          </w:p>
          <w:p w:rsidR="006F7D43" w:rsidRDefault="006F7D43" w:rsidP="006F7D43">
            <w:pPr>
              <w:rPr>
                <w:rFonts w:ascii="Arial" w:hAnsi="Arial" w:cs="Arial"/>
              </w:rPr>
            </w:pPr>
          </w:p>
          <w:p w:rsidR="006F7D43" w:rsidRDefault="006F7D43" w:rsidP="006F7D43">
            <w:pPr>
              <w:rPr>
                <w:rFonts w:ascii="Arial" w:hAnsi="Arial" w:cs="Arial"/>
              </w:rPr>
            </w:pPr>
            <w:r w:rsidRPr="006F7D43">
              <w:rPr>
                <w:rFonts w:ascii="Arial" w:hAnsi="Arial" w:cs="Arial"/>
              </w:rPr>
              <w:t>The Phase II settlement solely addressed issues related to the disposition of any over-collections stemming from the</w:t>
            </w:r>
            <w:r>
              <w:rPr>
                <w:rFonts w:ascii="Arial" w:hAnsi="Arial" w:cs="Arial"/>
              </w:rPr>
              <w:t xml:space="preserve"> </w:t>
            </w:r>
            <w:r w:rsidRPr="006F7D43">
              <w:rPr>
                <w:rFonts w:ascii="Arial" w:hAnsi="Arial" w:cs="Arial"/>
              </w:rPr>
              <w:t>lag between the effective date of reduction in corporate federal income taxes to 21% from 35%, Jan. 1, 2018, and the</w:t>
            </w:r>
            <w:r>
              <w:rPr>
                <w:rFonts w:ascii="Arial" w:hAnsi="Arial" w:cs="Arial"/>
              </w:rPr>
              <w:t xml:space="preserve"> </w:t>
            </w:r>
            <w:r w:rsidRPr="006F7D43">
              <w:rPr>
                <w:rFonts w:ascii="Arial" w:hAnsi="Arial" w:cs="Arial"/>
              </w:rPr>
              <w:t>date new rates were implemented, in August 2019.</w:t>
            </w:r>
            <w:r>
              <w:rPr>
                <w:rFonts w:ascii="Arial" w:hAnsi="Arial" w:cs="Arial"/>
              </w:rPr>
              <w:t xml:space="preserve"> </w:t>
            </w:r>
            <w:r w:rsidRPr="006F7D43">
              <w:rPr>
                <w:rFonts w:ascii="Arial" w:hAnsi="Arial" w:cs="Arial"/>
              </w:rPr>
              <w:t>The parties to the Phase II settlement agreed that should the PRC order refunds, the amount of the refund would be</w:t>
            </w:r>
            <w:r>
              <w:rPr>
                <w:rFonts w:ascii="Arial" w:hAnsi="Arial" w:cs="Arial"/>
              </w:rPr>
              <w:t xml:space="preserve"> </w:t>
            </w:r>
            <w:r w:rsidRPr="006F7D43">
              <w:rPr>
                <w:rFonts w:ascii="Arial" w:hAnsi="Arial" w:cs="Arial"/>
              </w:rPr>
              <w:t>$7.8 million.</w:t>
            </w:r>
          </w:p>
          <w:p w:rsidR="00615FF3" w:rsidRPr="00C01EA6" w:rsidRDefault="00615FF3" w:rsidP="003E686B">
            <w:pPr>
              <w:rPr>
                <w:rFonts w:ascii="Arial" w:hAnsi="Arial" w:cs="Arial"/>
              </w:rPr>
            </w:pPr>
          </w:p>
        </w:tc>
      </w:tr>
      <w:tr w:rsidR="008209DD" w:rsidRPr="00B51D1F" w:rsidTr="004E793E">
        <w:trPr>
          <w:trHeight w:val="279"/>
        </w:trPr>
        <w:tc>
          <w:tcPr>
            <w:tcW w:w="9895" w:type="dxa"/>
            <w:gridSpan w:val="2"/>
            <w:shd w:val="clear" w:color="auto" w:fill="1F4E79" w:themeFill="accent1" w:themeFillShade="80"/>
          </w:tcPr>
          <w:p w:rsidR="008209DD" w:rsidRPr="00B51D1F" w:rsidRDefault="006F7D43" w:rsidP="005F3DEB">
            <w:pPr>
              <w:jc w:val="center"/>
              <w:rPr>
                <w:rFonts w:ascii="Arial" w:hAnsi="Arial" w:cs="Arial"/>
                <w:b/>
                <w:color w:val="FFFFFF" w:themeColor="background1"/>
              </w:rPr>
            </w:pPr>
            <w:r>
              <w:rPr>
                <w:rFonts w:ascii="Arial" w:hAnsi="Arial" w:cs="Arial"/>
                <w:b/>
                <w:color w:val="FFFFFF" w:themeColor="background1"/>
              </w:rPr>
              <w:t>August 20</w:t>
            </w:r>
            <w:r w:rsidR="00973AEB">
              <w:rPr>
                <w:rFonts w:ascii="Arial" w:hAnsi="Arial" w:cs="Arial"/>
                <w:b/>
                <w:color w:val="FFFFFF" w:themeColor="background1"/>
              </w:rPr>
              <w:t>, 2019</w:t>
            </w:r>
          </w:p>
        </w:tc>
      </w:tr>
      <w:tr w:rsidR="008209DD" w:rsidRPr="00B51D1F" w:rsidTr="002E5982">
        <w:trPr>
          <w:trHeight w:val="279"/>
        </w:trPr>
        <w:tc>
          <w:tcPr>
            <w:tcW w:w="2245" w:type="dxa"/>
            <w:shd w:val="clear" w:color="auto" w:fill="1F4E79" w:themeFill="accent1" w:themeFillShade="80"/>
          </w:tcPr>
          <w:p w:rsidR="008209DD" w:rsidRPr="00B51D1F" w:rsidRDefault="008209DD" w:rsidP="00AD3B4B">
            <w:pPr>
              <w:rPr>
                <w:rFonts w:ascii="Arial" w:hAnsi="Arial" w:cs="Arial"/>
                <w:b/>
                <w:color w:val="FFFFFF" w:themeColor="background1"/>
              </w:rPr>
            </w:pPr>
            <w:r w:rsidRPr="00B51D1F">
              <w:rPr>
                <w:rFonts w:ascii="Arial" w:hAnsi="Arial" w:cs="Arial"/>
                <w:b/>
                <w:color w:val="FFFFFF" w:themeColor="background1"/>
              </w:rPr>
              <w:t>Company</w:t>
            </w:r>
          </w:p>
        </w:tc>
        <w:tc>
          <w:tcPr>
            <w:tcW w:w="7650" w:type="dxa"/>
            <w:shd w:val="clear" w:color="auto" w:fill="FFFFFF" w:themeFill="background1"/>
          </w:tcPr>
          <w:p w:rsidR="008209DD" w:rsidRPr="00B51D1F" w:rsidRDefault="006F7D43" w:rsidP="00C34414">
            <w:pPr>
              <w:rPr>
                <w:rFonts w:ascii="Arial" w:hAnsi="Arial" w:cs="Arial"/>
              </w:rPr>
            </w:pPr>
            <w:r>
              <w:rPr>
                <w:rFonts w:ascii="Arial" w:hAnsi="Arial" w:cs="Arial"/>
              </w:rPr>
              <w:t>Oklahoma Natural Gas Company</w:t>
            </w:r>
          </w:p>
        </w:tc>
      </w:tr>
      <w:tr w:rsidR="008209DD" w:rsidRPr="00B51D1F" w:rsidTr="002E5982">
        <w:trPr>
          <w:trHeight w:val="279"/>
        </w:trPr>
        <w:tc>
          <w:tcPr>
            <w:tcW w:w="2245" w:type="dxa"/>
            <w:shd w:val="clear" w:color="auto" w:fill="1F4E79" w:themeFill="accent1" w:themeFillShade="80"/>
          </w:tcPr>
          <w:p w:rsidR="008209DD" w:rsidRPr="00B51D1F" w:rsidRDefault="003A0B49" w:rsidP="00AD3B4B">
            <w:pPr>
              <w:rPr>
                <w:rFonts w:ascii="Arial" w:hAnsi="Arial" w:cs="Arial"/>
                <w:b/>
                <w:color w:val="FFFFFF" w:themeColor="background1"/>
              </w:rPr>
            </w:pPr>
            <w:r>
              <w:rPr>
                <w:rFonts w:ascii="Arial" w:hAnsi="Arial" w:cs="Arial"/>
                <w:b/>
                <w:color w:val="FFFFFF" w:themeColor="background1"/>
              </w:rPr>
              <w:t>State</w:t>
            </w:r>
          </w:p>
        </w:tc>
        <w:tc>
          <w:tcPr>
            <w:tcW w:w="7650" w:type="dxa"/>
            <w:shd w:val="clear" w:color="auto" w:fill="FFFFFF" w:themeFill="background1"/>
          </w:tcPr>
          <w:p w:rsidR="008209DD" w:rsidRPr="00B51D1F" w:rsidRDefault="001810C6" w:rsidP="00CD3DC9">
            <w:pPr>
              <w:rPr>
                <w:rFonts w:ascii="Arial" w:hAnsi="Arial" w:cs="Arial"/>
              </w:rPr>
            </w:pPr>
            <w:r>
              <w:rPr>
                <w:rFonts w:ascii="Arial" w:hAnsi="Arial" w:cs="Arial"/>
              </w:rPr>
              <w:t>Oklahoma</w:t>
            </w:r>
          </w:p>
        </w:tc>
      </w:tr>
      <w:tr w:rsidR="00644EA0" w:rsidRPr="00B51D1F" w:rsidTr="002E5982">
        <w:trPr>
          <w:trHeight w:val="279"/>
        </w:trPr>
        <w:tc>
          <w:tcPr>
            <w:tcW w:w="2245" w:type="dxa"/>
            <w:shd w:val="clear" w:color="auto" w:fill="1F4E79" w:themeFill="accent1" w:themeFillShade="80"/>
          </w:tcPr>
          <w:p w:rsidR="00644EA0" w:rsidRPr="00B51D1F" w:rsidRDefault="00644EA0" w:rsidP="00644EA0">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shd w:val="clear" w:color="auto" w:fill="FFFFFF" w:themeFill="background1"/>
          </w:tcPr>
          <w:p w:rsidR="00644EA0" w:rsidRPr="00683905" w:rsidRDefault="001810C6" w:rsidP="00644EA0">
            <w:pPr>
              <w:rPr>
                <w:rFonts w:ascii="Arial" w:hAnsi="Arial" w:cs="Arial"/>
                <w:color w:val="0000FF"/>
                <w:u w:val="single"/>
              </w:rPr>
            </w:pPr>
            <w:hyperlink r:id="rId10" w:history="1">
              <w:r w:rsidRPr="001810C6">
                <w:rPr>
                  <w:rStyle w:val="Hyperlink"/>
                  <w:rFonts w:ascii="Arial" w:hAnsi="Arial" w:cs="Arial"/>
                </w:rPr>
                <w:t>Ca-PUD201900018</w:t>
              </w:r>
            </w:hyperlink>
          </w:p>
        </w:tc>
      </w:tr>
      <w:tr w:rsidR="00644EA0" w:rsidRPr="00B51D1F" w:rsidTr="002E5982">
        <w:trPr>
          <w:trHeight w:val="279"/>
        </w:trPr>
        <w:tc>
          <w:tcPr>
            <w:tcW w:w="2245" w:type="dxa"/>
            <w:shd w:val="clear" w:color="auto" w:fill="1F4E79" w:themeFill="accent1" w:themeFillShade="80"/>
          </w:tcPr>
          <w:p w:rsidR="00644EA0" w:rsidRPr="00B51D1F" w:rsidRDefault="00644EA0" w:rsidP="00644EA0">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shd w:val="clear" w:color="auto" w:fill="FFFFFF" w:themeFill="background1"/>
          </w:tcPr>
          <w:p w:rsidR="00644EA0" w:rsidRPr="001810C6" w:rsidRDefault="001810C6" w:rsidP="001810C6">
            <w:pPr>
              <w:rPr>
                <w:rFonts w:ascii="Arial" w:hAnsi="Arial" w:cs="Arial"/>
              </w:rPr>
            </w:pPr>
            <w:r>
              <w:rPr>
                <w:rFonts w:ascii="Arial" w:hAnsi="Arial" w:cs="Arial"/>
              </w:rPr>
              <w:t>-</w:t>
            </w:r>
            <w:r w:rsidRPr="001810C6">
              <w:rPr>
                <w:rFonts w:ascii="Arial" w:hAnsi="Arial" w:cs="Arial"/>
              </w:rPr>
              <w:t>28,236,690</w:t>
            </w:r>
          </w:p>
        </w:tc>
      </w:tr>
      <w:tr w:rsidR="00644EA0" w:rsidRPr="00B51D1F" w:rsidTr="002E5982">
        <w:trPr>
          <w:trHeight w:val="279"/>
        </w:trPr>
        <w:tc>
          <w:tcPr>
            <w:tcW w:w="2245" w:type="dxa"/>
            <w:shd w:val="clear" w:color="auto" w:fill="1F4E79" w:themeFill="accent1" w:themeFillShade="80"/>
          </w:tcPr>
          <w:p w:rsidR="00644EA0" w:rsidRPr="00B51D1F" w:rsidRDefault="00644EA0" w:rsidP="00644EA0">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shd w:val="clear" w:color="auto" w:fill="FFFFFF" w:themeFill="background1"/>
          </w:tcPr>
          <w:p w:rsidR="00644EA0" w:rsidRPr="00B51D1F" w:rsidRDefault="00644EA0" w:rsidP="00644EA0">
            <w:pPr>
              <w:rPr>
                <w:rFonts w:ascii="Arial" w:hAnsi="Arial" w:cs="Arial"/>
              </w:rPr>
            </w:pPr>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Intervenors</w:t>
            </w:r>
          </w:p>
        </w:tc>
        <w:tc>
          <w:tcPr>
            <w:tcW w:w="7650" w:type="dxa"/>
            <w:shd w:val="clear" w:color="auto" w:fill="FFFFFF" w:themeFill="background1"/>
          </w:tcPr>
          <w:p w:rsidR="006531A4" w:rsidRPr="00B51D1F" w:rsidRDefault="006531A4" w:rsidP="006531A4">
            <w:pPr>
              <w:rPr>
                <w:rFonts w:ascii="Arial" w:hAnsi="Arial" w:cs="Arial"/>
              </w:rPr>
            </w:pPr>
          </w:p>
        </w:tc>
      </w:tr>
      <w:tr w:rsidR="006531A4" w:rsidRPr="00B51D1F" w:rsidTr="004E793E">
        <w:trPr>
          <w:trHeight w:val="279"/>
        </w:trPr>
        <w:tc>
          <w:tcPr>
            <w:tcW w:w="9895" w:type="dxa"/>
            <w:gridSpan w:val="2"/>
            <w:shd w:val="clear" w:color="auto" w:fill="1F4E79" w:themeFill="accent1" w:themeFillShade="80"/>
          </w:tcPr>
          <w:p w:rsidR="006531A4" w:rsidRPr="00B51D1F" w:rsidRDefault="006531A4" w:rsidP="006531A4">
            <w:pPr>
              <w:jc w:val="center"/>
              <w:rPr>
                <w:rFonts w:ascii="Arial" w:hAnsi="Arial" w:cs="Arial"/>
                <w:b/>
                <w:color w:val="FFFFFF" w:themeColor="background1"/>
              </w:rPr>
            </w:pPr>
            <w:r w:rsidRPr="00B51D1F">
              <w:rPr>
                <w:rFonts w:ascii="Arial" w:hAnsi="Arial" w:cs="Arial"/>
                <w:b/>
                <w:color w:val="FFFFFF" w:themeColor="background1"/>
              </w:rPr>
              <w:lastRenderedPageBreak/>
              <w:t xml:space="preserve">Case Summary </w:t>
            </w:r>
          </w:p>
        </w:tc>
      </w:tr>
      <w:tr w:rsidR="006531A4" w:rsidRPr="00B51D1F" w:rsidTr="004E793E">
        <w:trPr>
          <w:trHeight w:val="279"/>
        </w:trPr>
        <w:tc>
          <w:tcPr>
            <w:tcW w:w="9895" w:type="dxa"/>
            <w:gridSpan w:val="2"/>
            <w:shd w:val="clear" w:color="auto" w:fill="FFFFFF" w:themeFill="background1"/>
          </w:tcPr>
          <w:p w:rsidR="001810C6" w:rsidRDefault="001810C6" w:rsidP="001810C6">
            <w:pPr>
              <w:tabs>
                <w:tab w:val="left" w:pos="390"/>
                <w:tab w:val="left" w:pos="2280"/>
              </w:tabs>
              <w:rPr>
                <w:rFonts w:ascii="Arial" w:hAnsi="Arial" w:cs="Arial"/>
              </w:rPr>
            </w:pPr>
            <w:r w:rsidRPr="001810C6">
              <w:rPr>
                <w:rFonts w:ascii="Arial" w:hAnsi="Arial" w:cs="Arial"/>
              </w:rPr>
              <w:t xml:space="preserve">In the proceeding, the company indicated that it earned above the upper end of the </w:t>
            </w:r>
            <w:proofErr w:type="spellStart"/>
            <w:r w:rsidRPr="001810C6">
              <w:rPr>
                <w:rFonts w:ascii="Arial" w:hAnsi="Arial" w:cs="Arial"/>
              </w:rPr>
              <w:t>deadband</w:t>
            </w:r>
            <w:proofErr w:type="spellEnd"/>
            <w:r w:rsidRPr="001810C6">
              <w:rPr>
                <w:rFonts w:ascii="Arial" w:hAnsi="Arial" w:cs="Arial"/>
              </w:rPr>
              <w:t xml:space="preserve"> for the evaluation period. The company proposed to implement an aggregate $28.1 million rate reduction/credit that includes a $14.7 million credit pursuant to the terms of the PBR plan, adjusted to reflect the terms of the commission's Jan. 8, 2019, order addressing the impact of federal tax reform that requires the company to credit ratepayers in this case with all earnings in excess of a 9.5% ROE. The proposed rate reduction/credit also includes $0.7 million of interest for the period between Jan. 8, 2019, and February 2019, when base rates were reduced to reflect the lower corporate income tax rate that is also reflected in the instant filing; and a one-time annual credit of $12.7 million associated with excess deferred income taxes, or ADIT.</w:t>
            </w:r>
          </w:p>
          <w:p w:rsidR="0010764C" w:rsidRDefault="0010764C" w:rsidP="001810C6">
            <w:pPr>
              <w:tabs>
                <w:tab w:val="left" w:pos="390"/>
                <w:tab w:val="left" w:pos="2280"/>
              </w:tabs>
              <w:rPr>
                <w:rFonts w:ascii="Arial" w:hAnsi="Arial" w:cs="Arial"/>
              </w:rPr>
            </w:pPr>
          </w:p>
          <w:p w:rsidR="0010764C" w:rsidRPr="001810C6" w:rsidRDefault="0010764C" w:rsidP="001810C6">
            <w:pPr>
              <w:tabs>
                <w:tab w:val="left" w:pos="390"/>
                <w:tab w:val="left" w:pos="2280"/>
              </w:tabs>
              <w:rPr>
                <w:rFonts w:ascii="Arial" w:hAnsi="Arial" w:cs="Arial"/>
              </w:rPr>
            </w:pPr>
            <w:r w:rsidRPr="001810C6">
              <w:rPr>
                <w:rFonts w:ascii="Arial" w:hAnsi="Arial" w:cs="Arial"/>
              </w:rPr>
              <w:t>The company's performance-based ratemaking, or PBR, plan incorporates a 100-basis-point dead-band around a 9.5% authorized ROE benchmark. If the earned ROE were to exceed the benchmark return by more than 50 basis points (above a 10% ROE), the incremental return is to be allocated 75%/25% to ratepayers and shareholders. In addition, should the company's earned ROE fall below the lower end of the dead-band (below a 9% ROE), rates would be increased to achieve the mid-point ROE (9.5%). There is to be no rate adjustment if the earned ROE falls within the dead-band.</w:t>
            </w:r>
          </w:p>
          <w:p w:rsidR="001810C6" w:rsidRPr="001810C6" w:rsidRDefault="001810C6" w:rsidP="001810C6">
            <w:pPr>
              <w:tabs>
                <w:tab w:val="left" w:pos="390"/>
                <w:tab w:val="left" w:pos="2280"/>
              </w:tabs>
              <w:rPr>
                <w:rFonts w:ascii="Arial" w:hAnsi="Arial" w:cs="Arial"/>
              </w:rPr>
            </w:pPr>
          </w:p>
          <w:p w:rsidR="00973AEB" w:rsidRDefault="001810C6" w:rsidP="001810C6">
            <w:pPr>
              <w:tabs>
                <w:tab w:val="left" w:pos="390"/>
                <w:tab w:val="left" w:pos="2280"/>
              </w:tabs>
              <w:rPr>
                <w:rFonts w:ascii="Arial" w:hAnsi="Arial" w:cs="Arial"/>
              </w:rPr>
            </w:pPr>
            <w:r w:rsidRPr="001810C6">
              <w:rPr>
                <w:rFonts w:ascii="Arial" w:hAnsi="Arial" w:cs="Arial"/>
              </w:rPr>
              <w:t>A settlement was subsequently filed calling for a $15.6 million PBR credit and an additional credit of $12.7 million associated with excess ADIT. An administrative law judge recommended that the OCC approve the settlement. The settlement was approved by the commission without any modifications.</w:t>
            </w:r>
          </w:p>
          <w:p w:rsidR="001810C6" w:rsidRPr="00B51D1F" w:rsidRDefault="001810C6" w:rsidP="001810C6">
            <w:pPr>
              <w:tabs>
                <w:tab w:val="left" w:pos="390"/>
                <w:tab w:val="left" w:pos="2280"/>
              </w:tabs>
              <w:rPr>
                <w:rFonts w:ascii="Arial" w:hAnsi="Arial" w:cs="Arial"/>
              </w:rPr>
            </w:pPr>
          </w:p>
        </w:tc>
      </w:tr>
      <w:tr w:rsidR="006531A4" w:rsidRPr="00B51D1F" w:rsidTr="004E793E">
        <w:trPr>
          <w:trHeight w:val="263"/>
        </w:trPr>
        <w:tc>
          <w:tcPr>
            <w:tcW w:w="9895" w:type="dxa"/>
            <w:gridSpan w:val="2"/>
            <w:shd w:val="clear" w:color="auto" w:fill="1F4E79" w:themeFill="accent1" w:themeFillShade="80"/>
          </w:tcPr>
          <w:p w:rsidR="006531A4" w:rsidRPr="00B51D1F" w:rsidRDefault="001810C6" w:rsidP="006531A4">
            <w:pPr>
              <w:jc w:val="center"/>
              <w:rPr>
                <w:rFonts w:ascii="Arial" w:hAnsi="Arial" w:cs="Arial"/>
                <w:b/>
                <w:color w:val="FFFFFF" w:themeColor="background1"/>
              </w:rPr>
            </w:pPr>
            <w:r>
              <w:rPr>
                <w:rFonts w:ascii="Arial" w:hAnsi="Arial" w:cs="Arial"/>
                <w:b/>
                <w:color w:val="FFFFFF" w:themeColor="background1"/>
              </w:rPr>
              <w:t>August</w:t>
            </w:r>
            <w:r w:rsidR="0087324D">
              <w:rPr>
                <w:rFonts w:ascii="Arial" w:hAnsi="Arial" w:cs="Arial"/>
                <w:b/>
                <w:color w:val="FFFFFF" w:themeColor="background1"/>
              </w:rPr>
              <w:t xml:space="preserve"> </w:t>
            </w:r>
            <w:r>
              <w:rPr>
                <w:rFonts w:ascii="Arial" w:hAnsi="Arial" w:cs="Arial"/>
                <w:b/>
                <w:color w:val="FFFFFF" w:themeColor="background1"/>
              </w:rPr>
              <w:t>21</w:t>
            </w:r>
            <w:r w:rsidR="00973AEB">
              <w:rPr>
                <w:rFonts w:ascii="Arial" w:hAnsi="Arial" w:cs="Arial"/>
                <w:b/>
                <w:color w:val="FFFFFF" w:themeColor="background1"/>
              </w:rPr>
              <w:t>, 2019</w:t>
            </w:r>
          </w:p>
        </w:tc>
      </w:tr>
      <w:tr w:rsidR="006531A4" w:rsidRPr="00B51D1F" w:rsidTr="002E5982">
        <w:trPr>
          <w:trHeight w:val="161"/>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6531A4" w:rsidRPr="00B51D1F" w:rsidRDefault="001810C6" w:rsidP="006531A4">
            <w:pPr>
              <w:rPr>
                <w:rFonts w:ascii="Arial" w:hAnsi="Arial" w:cs="Arial"/>
              </w:rPr>
            </w:pPr>
            <w:r>
              <w:rPr>
                <w:rFonts w:ascii="Arial" w:hAnsi="Arial" w:cs="Arial"/>
              </w:rPr>
              <w:t>Union Electric Company</w:t>
            </w:r>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Pr>
                <w:rFonts w:ascii="Arial" w:hAnsi="Arial" w:cs="Arial"/>
                <w:b/>
                <w:color w:val="FFFFFF" w:themeColor="background1"/>
              </w:rPr>
              <w:t>State</w:t>
            </w:r>
          </w:p>
        </w:tc>
        <w:tc>
          <w:tcPr>
            <w:tcW w:w="7650" w:type="dxa"/>
          </w:tcPr>
          <w:p w:rsidR="006531A4" w:rsidRPr="00B51D1F" w:rsidRDefault="003D3465" w:rsidP="006531A4">
            <w:pPr>
              <w:rPr>
                <w:rFonts w:ascii="Arial" w:hAnsi="Arial" w:cs="Arial"/>
              </w:rPr>
            </w:pPr>
            <w:r>
              <w:rPr>
                <w:rFonts w:ascii="Arial" w:hAnsi="Arial" w:cs="Arial"/>
              </w:rPr>
              <w:t>Missouri</w:t>
            </w:r>
          </w:p>
        </w:tc>
      </w:tr>
      <w:tr w:rsidR="006531A4" w:rsidRPr="00B51D1F" w:rsidTr="002E5982">
        <w:trPr>
          <w:trHeight w:val="263"/>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6531A4" w:rsidRPr="001810C6" w:rsidRDefault="001810C6" w:rsidP="001810C6">
            <w:pPr>
              <w:rPr>
                <w:rFonts w:ascii="Arial" w:hAnsi="Arial" w:cs="Arial"/>
              </w:rPr>
            </w:pPr>
            <w:hyperlink r:id="rId11" w:history="1">
              <w:r w:rsidRPr="001810C6">
                <w:rPr>
                  <w:rStyle w:val="Hyperlink"/>
                  <w:rFonts w:ascii="Arial" w:hAnsi="Arial" w:cs="Arial"/>
                </w:rPr>
                <w:t>GR-201</w:t>
              </w:r>
              <w:r w:rsidRPr="001810C6">
                <w:rPr>
                  <w:rStyle w:val="Hyperlink"/>
                  <w:rFonts w:ascii="Arial" w:hAnsi="Arial" w:cs="Arial"/>
                </w:rPr>
                <w:t>9-0077</w:t>
              </w:r>
            </w:hyperlink>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6531A4" w:rsidRPr="00B51D1F" w:rsidRDefault="00E0488C" w:rsidP="006531A4">
            <w:pPr>
              <w:rPr>
                <w:rFonts w:ascii="Arial" w:hAnsi="Arial" w:cs="Arial"/>
              </w:rPr>
            </w:pPr>
            <w:r>
              <w:rPr>
                <w:rFonts w:ascii="Arial" w:hAnsi="Arial" w:cs="Arial"/>
              </w:rPr>
              <w:t>-$1,000,000</w:t>
            </w:r>
          </w:p>
        </w:tc>
      </w:tr>
      <w:tr w:rsidR="006531A4" w:rsidRPr="00B51D1F" w:rsidTr="002E5982">
        <w:trPr>
          <w:trHeight w:val="263"/>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6531A4" w:rsidRPr="00B51D1F" w:rsidRDefault="00E0488C" w:rsidP="006531A4">
            <w:pPr>
              <w:rPr>
                <w:rFonts w:ascii="Arial" w:hAnsi="Arial" w:cs="Arial"/>
              </w:rPr>
            </w:pPr>
            <w:r w:rsidRPr="00E0488C">
              <w:rPr>
                <w:rFonts w:ascii="Arial" w:hAnsi="Arial" w:cs="Arial"/>
              </w:rPr>
              <w:t>9.4% to 9.95%</w:t>
            </w:r>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Intervenors</w:t>
            </w:r>
          </w:p>
        </w:tc>
        <w:tc>
          <w:tcPr>
            <w:tcW w:w="7650" w:type="dxa"/>
          </w:tcPr>
          <w:p w:rsidR="006531A4" w:rsidRPr="00B51D1F" w:rsidRDefault="00E0488C" w:rsidP="006531A4">
            <w:pPr>
              <w:rPr>
                <w:rFonts w:ascii="Arial" w:hAnsi="Arial" w:cs="Arial"/>
                <w:szCs w:val="18"/>
                <w:shd w:val="clear" w:color="auto" w:fill="FFFFFF"/>
              </w:rPr>
            </w:pPr>
            <w:r w:rsidRPr="00E0488C">
              <w:rPr>
                <w:rFonts w:ascii="Arial" w:hAnsi="Arial" w:cs="Arial"/>
                <w:szCs w:val="18"/>
                <w:shd w:val="clear" w:color="auto" w:fill="FFFFFF"/>
              </w:rPr>
              <w:t>Missouri School Boards’ Association</w:t>
            </w:r>
            <w:r>
              <w:rPr>
                <w:rFonts w:ascii="Arial" w:hAnsi="Arial" w:cs="Arial"/>
                <w:szCs w:val="18"/>
                <w:shd w:val="clear" w:color="auto" w:fill="FFFFFF"/>
              </w:rPr>
              <w:t xml:space="preserve">, </w:t>
            </w:r>
            <w:r w:rsidRPr="00E0488C">
              <w:rPr>
                <w:rFonts w:ascii="Arial" w:hAnsi="Arial" w:cs="Arial"/>
                <w:szCs w:val="18"/>
                <w:shd w:val="clear" w:color="auto" w:fill="FFFFFF"/>
              </w:rPr>
              <w:t>Missouri Division of Energy</w:t>
            </w:r>
            <w:r>
              <w:rPr>
                <w:rFonts w:ascii="Arial" w:hAnsi="Arial" w:cs="Arial"/>
                <w:szCs w:val="18"/>
                <w:shd w:val="clear" w:color="auto" w:fill="FFFFFF"/>
              </w:rPr>
              <w:t xml:space="preserve">, </w:t>
            </w:r>
            <w:r w:rsidRPr="00E0488C">
              <w:rPr>
                <w:rFonts w:ascii="Arial" w:hAnsi="Arial" w:cs="Arial"/>
                <w:szCs w:val="18"/>
                <w:shd w:val="clear" w:color="auto" w:fill="FFFFFF"/>
              </w:rPr>
              <w:t>Renew Missouri</w:t>
            </w:r>
            <w:r>
              <w:rPr>
                <w:rFonts w:ascii="Arial" w:hAnsi="Arial" w:cs="Arial"/>
                <w:szCs w:val="18"/>
                <w:shd w:val="clear" w:color="auto" w:fill="FFFFFF"/>
              </w:rPr>
              <w:t xml:space="preserve">, </w:t>
            </w:r>
            <w:r w:rsidRPr="00E0488C">
              <w:rPr>
                <w:rFonts w:ascii="Arial" w:hAnsi="Arial" w:cs="Arial"/>
                <w:szCs w:val="18"/>
                <w:shd w:val="clear" w:color="auto" w:fill="FFFFFF"/>
              </w:rPr>
              <w:t>The Missouri Industrial Energy Consumers</w:t>
            </w:r>
            <w:r>
              <w:rPr>
                <w:rFonts w:ascii="Arial" w:hAnsi="Arial" w:cs="Arial"/>
                <w:szCs w:val="18"/>
                <w:shd w:val="clear" w:color="auto" w:fill="FFFFFF"/>
              </w:rPr>
              <w:t xml:space="preserve">, </w:t>
            </w:r>
            <w:r w:rsidRPr="00E0488C">
              <w:rPr>
                <w:rFonts w:ascii="Arial" w:hAnsi="Arial" w:cs="Arial"/>
                <w:szCs w:val="18"/>
                <w:shd w:val="clear" w:color="auto" w:fill="FFFFFF"/>
              </w:rPr>
              <w:t>National Housing Trust</w:t>
            </w:r>
            <w:r>
              <w:rPr>
                <w:rFonts w:ascii="Arial" w:hAnsi="Arial" w:cs="Arial"/>
                <w:szCs w:val="18"/>
                <w:shd w:val="clear" w:color="auto" w:fill="FFFFFF"/>
              </w:rPr>
              <w:t>, and Spire Missouri.</w:t>
            </w:r>
          </w:p>
        </w:tc>
      </w:tr>
      <w:tr w:rsidR="006531A4" w:rsidRPr="00B51D1F" w:rsidTr="004E793E">
        <w:trPr>
          <w:trHeight w:val="263"/>
        </w:trPr>
        <w:tc>
          <w:tcPr>
            <w:tcW w:w="9895" w:type="dxa"/>
            <w:gridSpan w:val="2"/>
            <w:shd w:val="clear" w:color="auto" w:fill="1F4E79" w:themeFill="accent1" w:themeFillShade="80"/>
          </w:tcPr>
          <w:p w:rsidR="006531A4" w:rsidRPr="00B51D1F" w:rsidRDefault="006531A4" w:rsidP="006531A4">
            <w:pPr>
              <w:tabs>
                <w:tab w:val="left" w:pos="240"/>
                <w:tab w:val="center" w:pos="4839"/>
              </w:tabs>
              <w:rPr>
                <w:rFonts w:ascii="Arial" w:hAnsi="Arial" w:cs="Arial"/>
                <w:b/>
                <w:color w:val="FFFFFF" w:themeColor="background1"/>
              </w:rPr>
            </w:pPr>
            <w:r w:rsidRPr="00B51D1F">
              <w:rPr>
                <w:rFonts w:ascii="Arial" w:hAnsi="Arial" w:cs="Arial"/>
                <w:b/>
                <w:color w:val="FFFFFF" w:themeColor="background1"/>
              </w:rPr>
              <w:tab/>
            </w:r>
            <w:r w:rsidRPr="00B51D1F">
              <w:rPr>
                <w:rFonts w:ascii="Arial" w:hAnsi="Arial" w:cs="Arial"/>
                <w:b/>
                <w:color w:val="FFFFFF" w:themeColor="background1"/>
              </w:rPr>
              <w:tab/>
              <w:t>Case Summary</w:t>
            </w:r>
          </w:p>
        </w:tc>
      </w:tr>
      <w:tr w:rsidR="006531A4" w:rsidRPr="00B51D1F" w:rsidTr="004E793E">
        <w:trPr>
          <w:trHeight w:val="263"/>
        </w:trPr>
        <w:tc>
          <w:tcPr>
            <w:tcW w:w="9895" w:type="dxa"/>
            <w:gridSpan w:val="2"/>
            <w:shd w:val="clear" w:color="auto" w:fill="FFFFFF" w:themeFill="background1"/>
          </w:tcPr>
          <w:p w:rsidR="00E0488C" w:rsidRDefault="003D3465" w:rsidP="00E0488C">
            <w:pPr>
              <w:tabs>
                <w:tab w:val="left" w:pos="240"/>
                <w:tab w:val="center" w:pos="4839"/>
              </w:tabs>
              <w:rPr>
                <w:rFonts w:ascii="Arial" w:hAnsi="Arial" w:cs="Arial"/>
              </w:rPr>
            </w:pPr>
            <w:r w:rsidRPr="003D3465">
              <w:rPr>
                <w:rFonts w:ascii="Arial" w:hAnsi="Arial" w:cs="Arial"/>
              </w:rPr>
              <w:t xml:space="preserve">On </w:t>
            </w:r>
            <w:r w:rsidR="00E0488C">
              <w:rPr>
                <w:rFonts w:ascii="Arial" w:hAnsi="Arial" w:cs="Arial"/>
              </w:rPr>
              <w:t>August 21</w:t>
            </w:r>
            <w:r w:rsidRPr="003D3465">
              <w:rPr>
                <w:rFonts w:ascii="Arial" w:hAnsi="Arial" w:cs="Arial"/>
              </w:rPr>
              <w:t xml:space="preserve"> the Missouri Public Service Commission </w:t>
            </w:r>
            <w:r w:rsidR="00E0488C" w:rsidRPr="00E0488C">
              <w:rPr>
                <w:rFonts w:ascii="Arial" w:hAnsi="Arial" w:cs="Arial"/>
              </w:rPr>
              <w:t>adopted partial settlements providing for Ameren Corp. subsidiary Union Electric Co. to implement a $1 million permanent gas distribution base rate reduction.</w:t>
            </w:r>
            <w:r w:rsidR="00E0488C" w:rsidRPr="00E0488C">
              <w:t xml:space="preserve"> </w:t>
            </w:r>
            <w:r w:rsidR="00E0488C" w:rsidRPr="00E0488C">
              <w:rPr>
                <w:rFonts w:ascii="Arial" w:hAnsi="Arial" w:cs="Arial"/>
              </w:rPr>
              <w:t xml:space="preserve">After consideration of a $1.9 million interim rate reduction that was implemented earlier in the proceeding, the incremental impact to ratepayers is effectively a $0.9 million rate hike. </w:t>
            </w:r>
          </w:p>
          <w:p w:rsidR="00E0488C" w:rsidRDefault="00E0488C" w:rsidP="00E0488C">
            <w:pPr>
              <w:tabs>
                <w:tab w:val="left" w:pos="240"/>
                <w:tab w:val="center" w:pos="4839"/>
              </w:tabs>
              <w:rPr>
                <w:rFonts w:ascii="Arial" w:hAnsi="Arial" w:cs="Arial"/>
              </w:rPr>
            </w:pPr>
          </w:p>
          <w:p w:rsidR="0010764C" w:rsidRDefault="00E0488C" w:rsidP="00E0488C">
            <w:pPr>
              <w:tabs>
                <w:tab w:val="left" w:pos="240"/>
                <w:tab w:val="center" w:pos="4839"/>
              </w:tabs>
              <w:rPr>
                <w:rFonts w:ascii="Arial" w:hAnsi="Arial" w:cs="Arial"/>
              </w:rPr>
            </w:pPr>
            <w:r w:rsidRPr="00E0488C">
              <w:rPr>
                <w:rFonts w:ascii="Arial" w:hAnsi="Arial" w:cs="Arial"/>
              </w:rPr>
              <w:t>The settling parties had said, and the commission agreed, that a return on equity in a range of 9.4% to 9.95% is deemed to be “reasonable.”</w:t>
            </w:r>
            <w:r>
              <w:rPr>
                <w:rFonts w:ascii="Arial" w:hAnsi="Arial" w:cs="Arial"/>
              </w:rPr>
              <w:t xml:space="preserve"> </w:t>
            </w:r>
            <w:r w:rsidRPr="00E0488C">
              <w:rPr>
                <w:rFonts w:ascii="Arial" w:hAnsi="Arial" w:cs="Arial"/>
              </w:rPr>
              <w:t>For</w:t>
            </w:r>
            <w:r>
              <w:rPr>
                <w:rFonts w:ascii="Arial" w:hAnsi="Arial" w:cs="Arial"/>
              </w:rPr>
              <w:t xml:space="preserve"> </w:t>
            </w:r>
            <w:r w:rsidRPr="00E0488C">
              <w:rPr>
                <w:rFonts w:ascii="Arial" w:hAnsi="Arial" w:cs="Arial"/>
              </w:rPr>
              <w:t>purposes of prospective rate adjustments under the company’s infrastructure</w:t>
            </w:r>
            <w:r>
              <w:rPr>
                <w:rFonts w:ascii="Arial" w:hAnsi="Arial" w:cs="Arial"/>
              </w:rPr>
              <w:t xml:space="preserve"> </w:t>
            </w:r>
            <w:r w:rsidRPr="00E0488C">
              <w:rPr>
                <w:rFonts w:ascii="Arial" w:hAnsi="Arial" w:cs="Arial"/>
              </w:rPr>
              <w:t>system replacement surcharge</w:t>
            </w:r>
            <w:r>
              <w:rPr>
                <w:rFonts w:ascii="Arial" w:hAnsi="Arial" w:cs="Arial"/>
              </w:rPr>
              <w:t xml:space="preserve"> </w:t>
            </w:r>
            <w:r w:rsidRPr="00E0488C">
              <w:rPr>
                <w:rFonts w:ascii="Arial" w:hAnsi="Arial" w:cs="Arial"/>
              </w:rPr>
              <w:t xml:space="preserve">rider, a 9.725% ROE is to be used. </w:t>
            </w:r>
          </w:p>
          <w:p w:rsidR="0010764C" w:rsidRDefault="0010764C" w:rsidP="00E0488C">
            <w:pPr>
              <w:tabs>
                <w:tab w:val="left" w:pos="240"/>
                <w:tab w:val="center" w:pos="4839"/>
              </w:tabs>
              <w:rPr>
                <w:rFonts w:ascii="Arial" w:hAnsi="Arial" w:cs="Arial"/>
              </w:rPr>
            </w:pPr>
          </w:p>
          <w:p w:rsidR="00973AEB" w:rsidRDefault="00E0488C" w:rsidP="00E0488C">
            <w:pPr>
              <w:tabs>
                <w:tab w:val="left" w:pos="240"/>
                <w:tab w:val="center" w:pos="4839"/>
              </w:tabs>
              <w:rPr>
                <w:rFonts w:ascii="Arial" w:hAnsi="Arial" w:cs="Arial"/>
              </w:rPr>
            </w:pPr>
            <w:r w:rsidRPr="00E0488C">
              <w:rPr>
                <w:rFonts w:ascii="Arial" w:hAnsi="Arial" w:cs="Arial"/>
              </w:rPr>
              <w:lastRenderedPageBreak/>
              <w:t>Union</w:t>
            </w:r>
            <w:r>
              <w:rPr>
                <w:rFonts w:ascii="Arial" w:hAnsi="Arial" w:cs="Arial"/>
              </w:rPr>
              <w:t xml:space="preserve"> </w:t>
            </w:r>
            <w:r w:rsidRPr="00E0488C">
              <w:rPr>
                <w:rFonts w:ascii="Arial" w:hAnsi="Arial" w:cs="Arial"/>
              </w:rPr>
              <w:t>Electric is to implement a “volume indifference reconciliation to normal,” or</w:t>
            </w:r>
            <w:r>
              <w:rPr>
                <w:rFonts w:ascii="Arial" w:hAnsi="Arial" w:cs="Arial"/>
              </w:rPr>
              <w:t xml:space="preserve"> </w:t>
            </w:r>
            <w:r w:rsidRPr="00E0488C">
              <w:rPr>
                <w:rFonts w:ascii="Arial" w:hAnsi="Arial" w:cs="Arial"/>
              </w:rPr>
              <w:t>VIRN, rider that is effectively a partial decoupling mechanism for residential</w:t>
            </w:r>
            <w:r>
              <w:rPr>
                <w:rFonts w:ascii="Arial" w:hAnsi="Arial" w:cs="Arial"/>
              </w:rPr>
              <w:t xml:space="preserve"> </w:t>
            </w:r>
            <w:r w:rsidRPr="00E0488C">
              <w:rPr>
                <w:rFonts w:ascii="Arial" w:hAnsi="Arial" w:cs="Arial"/>
              </w:rPr>
              <w:t>and commercial customers</w:t>
            </w:r>
          </w:p>
          <w:p w:rsidR="00E0488C" w:rsidRDefault="00E0488C" w:rsidP="00E0488C">
            <w:pPr>
              <w:tabs>
                <w:tab w:val="left" w:pos="240"/>
                <w:tab w:val="center" w:pos="4839"/>
              </w:tabs>
              <w:rPr>
                <w:rFonts w:ascii="Arial" w:hAnsi="Arial" w:cs="Arial"/>
              </w:rPr>
            </w:pPr>
          </w:p>
          <w:p w:rsidR="000D68DD" w:rsidRDefault="000D68DD" w:rsidP="000D68DD">
            <w:pPr>
              <w:tabs>
                <w:tab w:val="left" w:pos="240"/>
                <w:tab w:val="center" w:pos="4839"/>
              </w:tabs>
              <w:rPr>
                <w:rFonts w:ascii="Arial" w:hAnsi="Arial" w:cs="Arial"/>
              </w:rPr>
            </w:pPr>
            <w:r w:rsidRPr="000D68DD">
              <w:rPr>
                <w:rFonts w:ascii="Arial" w:hAnsi="Arial" w:cs="Arial"/>
              </w:rPr>
              <w:t>Union Electric’s ratemaking</w:t>
            </w:r>
            <w:r>
              <w:rPr>
                <w:rFonts w:ascii="Arial" w:hAnsi="Arial" w:cs="Arial"/>
              </w:rPr>
              <w:t xml:space="preserve"> </w:t>
            </w:r>
            <w:r w:rsidRPr="000D68DD">
              <w:rPr>
                <w:rFonts w:ascii="Arial" w:hAnsi="Arial" w:cs="Arial"/>
              </w:rPr>
              <w:t>capital structure is its actual capital structure as of May 31, 2019, and apparently includes a 52.05% common equity</w:t>
            </w:r>
            <w:r>
              <w:rPr>
                <w:rFonts w:ascii="Arial" w:hAnsi="Arial" w:cs="Arial"/>
              </w:rPr>
              <w:t xml:space="preserve"> </w:t>
            </w:r>
            <w:r w:rsidRPr="000D68DD">
              <w:rPr>
                <w:rFonts w:ascii="Arial" w:hAnsi="Arial" w:cs="Arial"/>
              </w:rPr>
              <w:t>component.</w:t>
            </w:r>
          </w:p>
          <w:p w:rsidR="000D68DD" w:rsidRPr="000D68DD" w:rsidRDefault="000D68DD" w:rsidP="000D68DD">
            <w:pPr>
              <w:tabs>
                <w:tab w:val="left" w:pos="240"/>
                <w:tab w:val="center" w:pos="4839"/>
              </w:tabs>
              <w:rPr>
                <w:rFonts w:ascii="Arial" w:hAnsi="Arial" w:cs="Arial"/>
              </w:rPr>
            </w:pPr>
          </w:p>
          <w:p w:rsidR="00E0488C" w:rsidRDefault="000D68DD" w:rsidP="000D68DD">
            <w:pPr>
              <w:tabs>
                <w:tab w:val="left" w:pos="240"/>
                <w:tab w:val="center" w:pos="4839"/>
              </w:tabs>
              <w:rPr>
                <w:rFonts w:ascii="Arial" w:hAnsi="Arial" w:cs="Arial"/>
              </w:rPr>
            </w:pPr>
            <w:r w:rsidRPr="000D68DD">
              <w:rPr>
                <w:rFonts w:ascii="Arial" w:hAnsi="Arial" w:cs="Arial"/>
              </w:rPr>
              <w:t>The settlements and PSC order are otherwise silent regarding rate of return and rate base</w:t>
            </w:r>
            <w:r>
              <w:rPr>
                <w:rFonts w:ascii="Arial" w:hAnsi="Arial" w:cs="Arial"/>
              </w:rPr>
              <w:t xml:space="preserve">. </w:t>
            </w:r>
            <w:r w:rsidRPr="000D68DD">
              <w:rPr>
                <w:rFonts w:ascii="Arial" w:hAnsi="Arial" w:cs="Arial"/>
              </w:rPr>
              <w:t>Union Electric is required to file its next gas rate case at the same time as its next electric base rate case</w:t>
            </w:r>
            <w:r>
              <w:rPr>
                <w:rFonts w:ascii="Arial" w:hAnsi="Arial" w:cs="Arial"/>
              </w:rPr>
              <w:t>.</w:t>
            </w:r>
          </w:p>
          <w:p w:rsidR="00E0488C" w:rsidRPr="00C34414" w:rsidRDefault="00E0488C" w:rsidP="00E0488C">
            <w:pPr>
              <w:tabs>
                <w:tab w:val="left" w:pos="240"/>
                <w:tab w:val="center" w:pos="4839"/>
              </w:tabs>
              <w:rPr>
                <w:rFonts w:ascii="Arial" w:hAnsi="Arial" w:cs="Arial"/>
              </w:rPr>
            </w:pPr>
          </w:p>
        </w:tc>
      </w:tr>
      <w:tr w:rsidR="006531A4" w:rsidRPr="00B51D1F" w:rsidTr="004E793E">
        <w:trPr>
          <w:trHeight w:val="279"/>
        </w:trPr>
        <w:tc>
          <w:tcPr>
            <w:tcW w:w="9895" w:type="dxa"/>
            <w:gridSpan w:val="2"/>
            <w:shd w:val="clear" w:color="auto" w:fill="1F4E79" w:themeFill="accent1" w:themeFillShade="80"/>
          </w:tcPr>
          <w:p w:rsidR="006531A4" w:rsidRPr="000602A6" w:rsidRDefault="000D68DD" w:rsidP="006531A4">
            <w:pPr>
              <w:jc w:val="center"/>
              <w:rPr>
                <w:rFonts w:ascii="Arial" w:hAnsi="Arial" w:cs="Arial"/>
                <w:b/>
                <w:color w:val="FFFFFF" w:themeColor="background1"/>
              </w:rPr>
            </w:pPr>
            <w:r>
              <w:rPr>
                <w:rFonts w:ascii="Arial" w:hAnsi="Arial" w:cs="Arial"/>
                <w:b/>
                <w:color w:val="FFFFFF" w:themeColor="background1"/>
              </w:rPr>
              <w:lastRenderedPageBreak/>
              <w:t>August</w:t>
            </w:r>
            <w:r w:rsidR="00973AEB">
              <w:rPr>
                <w:rFonts w:ascii="Arial" w:hAnsi="Arial" w:cs="Arial"/>
                <w:b/>
                <w:color w:val="FFFFFF" w:themeColor="background1"/>
              </w:rPr>
              <w:t xml:space="preserve"> </w:t>
            </w:r>
            <w:r>
              <w:rPr>
                <w:rFonts w:ascii="Arial" w:hAnsi="Arial" w:cs="Arial"/>
                <w:b/>
                <w:color w:val="FFFFFF" w:themeColor="background1"/>
              </w:rPr>
              <w:t>23</w:t>
            </w:r>
            <w:r w:rsidR="00973AEB">
              <w:rPr>
                <w:rFonts w:ascii="Arial" w:hAnsi="Arial" w:cs="Arial"/>
                <w:b/>
                <w:color w:val="FFFFFF" w:themeColor="background1"/>
              </w:rPr>
              <w:t>, 2019</w:t>
            </w:r>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6531A4" w:rsidRPr="000602A6" w:rsidRDefault="000D68DD" w:rsidP="006531A4">
            <w:pPr>
              <w:rPr>
                <w:rFonts w:ascii="Arial" w:hAnsi="Arial" w:cs="Arial"/>
              </w:rPr>
            </w:pPr>
            <w:r>
              <w:rPr>
                <w:rFonts w:ascii="Arial" w:hAnsi="Arial" w:cs="Arial"/>
              </w:rPr>
              <w:t>CenterPoint Energy Resources</w:t>
            </w:r>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rsidR="006531A4" w:rsidRPr="00B51D1F" w:rsidRDefault="000D68DD" w:rsidP="006531A4">
            <w:pPr>
              <w:rPr>
                <w:rFonts w:ascii="Arial" w:hAnsi="Arial" w:cs="Arial"/>
              </w:rPr>
            </w:pPr>
            <w:r>
              <w:rPr>
                <w:rFonts w:ascii="Arial" w:hAnsi="Arial" w:cs="Arial"/>
              </w:rPr>
              <w:t>Arkansas</w:t>
            </w:r>
          </w:p>
        </w:tc>
      </w:tr>
      <w:tr w:rsidR="006531A4" w:rsidRPr="00B51D1F" w:rsidTr="002E5982">
        <w:trPr>
          <w:trHeight w:val="263"/>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6531A4" w:rsidRPr="00B51D1F" w:rsidRDefault="006D5AC0" w:rsidP="006531A4">
            <w:pPr>
              <w:rPr>
                <w:rFonts w:ascii="Arial" w:hAnsi="Arial" w:cs="Arial"/>
                <w:color w:val="0000FF"/>
                <w:u w:val="single"/>
              </w:rPr>
            </w:pPr>
            <w:hyperlink r:id="rId12" w:history="1">
              <w:r w:rsidR="000D68DD" w:rsidRPr="006D5AC0">
                <w:rPr>
                  <w:rStyle w:val="Hyperlink"/>
                  <w:rFonts w:ascii="Arial" w:hAnsi="Arial" w:cs="Arial"/>
                </w:rPr>
                <w:t>D-17-0</w:t>
              </w:r>
              <w:r w:rsidR="000D68DD" w:rsidRPr="006D5AC0">
                <w:rPr>
                  <w:rStyle w:val="Hyperlink"/>
                  <w:rFonts w:ascii="Arial" w:hAnsi="Arial" w:cs="Arial"/>
                </w:rPr>
                <w:t>1</w:t>
              </w:r>
              <w:r w:rsidR="000D68DD" w:rsidRPr="006D5AC0">
                <w:rPr>
                  <w:rStyle w:val="Hyperlink"/>
                  <w:rFonts w:ascii="Arial" w:hAnsi="Arial" w:cs="Arial"/>
                </w:rPr>
                <w:t>0</w:t>
              </w:r>
              <w:r w:rsidR="000D68DD" w:rsidRPr="006D5AC0">
                <w:rPr>
                  <w:rStyle w:val="Hyperlink"/>
                  <w:rFonts w:ascii="Arial" w:hAnsi="Arial" w:cs="Arial"/>
                </w:rPr>
                <w:t>-</w:t>
              </w:r>
              <w:r w:rsidR="000D68DD" w:rsidRPr="006D5AC0">
                <w:rPr>
                  <w:rStyle w:val="Hyperlink"/>
                  <w:rFonts w:ascii="Arial" w:hAnsi="Arial" w:cs="Arial"/>
                </w:rPr>
                <w:t>FR</w:t>
              </w:r>
            </w:hyperlink>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6531A4" w:rsidRPr="00416BC2" w:rsidRDefault="00561328" w:rsidP="006531A4">
            <w:pPr>
              <w:rPr>
                <w:rFonts w:ascii="Arial" w:hAnsi="Arial" w:cs="Arial"/>
              </w:rPr>
            </w:pPr>
            <w:r>
              <w:rPr>
                <w:rFonts w:ascii="Arial" w:hAnsi="Arial" w:cs="Arial"/>
              </w:rPr>
              <w:t>$7,300,000</w:t>
            </w:r>
          </w:p>
        </w:tc>
      </w:tr>
      <w:tr w:rsidR="006531A4" w:rsidRPr="00B51D1F" w:rsidTr="002E5982">
        <w:trPr>
          <w:trHeight w:val="263"/>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6531A4" w:rsidRPr="00B51D1F" w:rsidRDefault="006531A4" w:rsidP="006531A4">
            <w:pPr>
              <w:rPr>
                <w:rFonts w:ascii="Arial" w:hAnsi="Arial" w:cs="Arial"/>
              </w:rPr>
            </w:pPr>
          </w:p>
        </w:tc>
      </w:tr>
      <w:tr w:rsidR="00125AE9" w:rsidRPr="00B51D1F" w:rsidTr="002E5982">
        <w:trPr>
          <w:trHeight w:val="263"/>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Pr>
                <w:rFonts w:ascii="Arial" w:hAnsi="Arial" w:cs="Arial"/>
                <w:b/>
                <w:color w:val="FFFFFF" w:themeColor="background1"/>
              </w:rPr>
              <w:t>Intervenors</w:t>
            </w:r>
          </w:p>
        </w:tc>
        <w:tc>
          <w:tcPr>
            <w:tcW w:w="7650" w:type="dxa"/>
          </w:tcPr>
          <w:p w:rsidR="00125AE9" w:rsidRPr="00B51D1F" w:rsidRDefault="0010764C" w:rsidP="000D68DD">
            <w:pPr>
              <w:rPr>
                <w:rFonts w:ascii="Arial" w:hAnsi="Arial" w:cs="Arial"/>
              </w:rPr>
            </w:pPr>
            <w:r>
              <w:rPr>
                <w:rFonts w:ascii="Arial" w:hAnsi="Arial" w:cs="Arial"/>
              </w:rPr>
              <w:t>T</w:t>
            </w:r>
            <w:r w:rsidR="000D68DD" w:rsidRPr="000D68DD">
              <w:rPr>
                <w:rFonts w:ascii="Arial" w:hAnsi="Arial" w:cs="Arial"/>
              </w:rPr>
              <w:t>he Office of the Arkansas Attorney General, Arkansas Gas Consumers, Inc.,</w:t>
            </w:r>
            <w:r w:rsidR="000D68DD">
              <w:rPr>
                <w:rFonts w:ascii="Arial" w:hAnsi="Arial" w:cs="Arial"/>
              </w:rPr>
              <w:t xml:space="preserve"> and</w:t>
            </w:r>
            <w:r w:rsidR="000D68DD" w:rsidRPr="000D68DD">
              <w:rPr>
                <w:rFonts w:ascii="Arial" w:hAnsi="Arial" w:cs="Arial"/>
              </w:rPr>
              <w:t xml:space="preserve"> the Board of</w:t>
            </w:r>
            <w:r w:rsidR="000D68DD">
              <w:rPr>
                <w:rFonts w:ascii="Arial" w:hAnsi="Arial" w:cs="Arial"/>
              </w:rPr>
              <w:t xml:space="preserve"> </w:t>
            </w:r>
            <w:r w:rsidR="000D68DD" w:rsidRPr="000D68DD">
              <w:rPr>
                <w:rFonts w:ascii="Arial" w:hAnsi="Arial" w:cs="Arial"/>
              </w:rPr>
              <w:t>Trustees of</w:t>
            </w:r>
            <w:r w:rsidR="000D68DD">
              <w:rPr>
                <w:rFonts w:ascii="Arial" w:hAnsi="Arial" w:cs="Arial"/>
              </w:rPr>
              <w:t xml:space="preserve"> </w:t>
            </w:r>
            <w:r w:rsidR="000D68DD" w:rsidRPr="000D68DD">
              <w:rPr>
                <w:rFonts w:ascii="Arial" w:hAnsi="Arial" w:cs="Arial"/>
              </w:rPr>
              <w:t>the</w:t>
            </w:r>
            <w:r w:rsidR="000D68DD">
              <w:rPr>
                <w:rFonts w:ascii="Arial" w:hAnsi="Arial" w:cs="Arial"/>
              </w:rPr>
              <w:t xml:space="preserve"> </w:t>
            </w:r>
            <w:r w:rsidR="000D68DD" w:rsidRPr="000D68DD">
              <w:rPr>
                <w:rFonts w:ascii="Arial" w:hAnsi="Arial" w:cs="Arial"/>
              </w:rPr>
              <w:t>University of Arkansas on behalf of the University of Arkansas System</w:t>
            </w:r>
          </w:p>
        </w:tc>
      </w:tr>
      <w:tr w:rsidR="00125AE9" w:rsidRPr="00B51D1F" w:rsidTr="004E793E">
        <w:trPr>
          <w:trHeight w:val="263"/>
        </w:trPr>
        <w:tc>
          <w:tcPr>
            <w:tcW w:w="9895" w:type="dxa"/>
            <w:gridSpan w:val="2"/>
            <w:shd w:val="clear" w:color="auto" w:fill="1F4E79" w:themeFill="accent1" w:themeFillShade="80"/>
          </w:tcPr>
          <w:p w:rsidR="00125AE9" w:rsidRPr="00B51D1F" w:rsidRDefault="00125AE9" w:rsidP="00125AE9">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125AE9" w:rsidRPr="00B51D1F" w:rsidTr="004E793E">
        <w:trPr>
          <w:trHeight w:val="263"/>
        </w:trPr>
        <w:tc>
          <w:tcPr>
            <w:tcW w:w="9895" w:type="dxa"/>
            <w:gridSpan w:val="2"/>
            <w:shd w:val="clear" w:color="auto" w:fill="FFFFFF" w:themeFill="background1"/>
          </w:tcPr>
          <w:p w:rsidR="00973AEB" w:rsidRDefault="006D5AC0" w:rsidP="006D5AC0">
            <w:pPr>
              <w:tabs>
                <w:tab w:val="left" w:pos="240"/>
                <w:tab w:val="center" w:pos="4839"/>
              </w:tabs>
              <w:rPr>
                <w:rFonts w:ascii="Arial" w:hAnsi="Arial" w:cs="Arial"/>
              </w:rPr>
            </w:pPr>
            <w:r>
              <w:rPr>
                <w:rFonts w:ascii="Arial" w:hAnsi="Arial" w:cs="Arial"/>
              </w:rPr>
              <w:t xml:space="preserve">Initially filed in April 2019 </w:t>
            </w:r>
            <w:r w:rsidRPr="006D5AC0">
              <w:rPr>
                <w:rFonts w:ascii="Arial" w:hAnsi="Arial" w:cs="Arial"/>
              </w:rPr>
              <w:t xml:space="preserve">CenterPoint Energy </w:t>
            </w:r>
            <w:r w:rsidR="0010764C">
              <w:rPr>
                <w:rFonts w:ascii="Arial" w:hAnsi="Arial" w:cs="Arial"/>
              </w:rPr>
              <w:t>Resources</w:t>
            </w:r>
            <w:r w:rsidRPr="006D5AC0">
              <w:rPr>
                <w:rFonts w:ascii="Arial" w:hAnsi="Arial" w:cs="Arial"/>
              </w:rPr>
              <w:t xml:space="preserve"> asked the Arkansas Public Service Commission for a $15.4 million, or 8.14%, gas base rate increase, based on a 9.5% return on equity (32.22% of a regulatory capital structure) and a 4.84% return on year-end rate base valued at $825.8 million for a test period ending Sept. 30, 202</w:t>
            </w:r>
            <w:r w:rsidR="0010764C">
              <w:rPr>
                <w:rFonts w:ascii="Arial" w:hAnsi="Arial" w:cs="Arial"/>
              </w:rPr>
              <w:t>0</w:t>
            </w:r>
            <w:r w:rsidRPr="006D5AC0">
              <w:rPr>
                <w:rFonts w:ascii="Arial" w:hAnsi="Arial" w:cs="Arial"/>
              </w:rPr>
              <w:t>. While the revenue change needed to restore the company's target ROE is $15.4 million, its requested revenue change is limited to $13.4 million due to the formula rate plan, or FRP, requirement that no rate class receive a revenue change greater than 4% in any given year.</w:t>
            </w:r>
          </w:p>
          <w:p w:rsidR="006D5AC0" w:rsidRDefault="006D5AC0" w:rsidP="006D5AC0">
            <w:pPr>
              <w:tabs>
                <w:tab w:val="left" w:pos="240"/>
                <w:tab w:val="center" w:pos="4839"/>
              </w:tabs>
              <w:rPr>
                <w:rFonts w:ascii="Arial" w:hAnsi="Arial" w:cs="Arial"/>
              </w:rPr>
            </w:pPr>
          </w:p>
          <w:p w:rsidR="006D5AC0" w:rsidRDefault="006D5AC0" w:rsidP="006D5AC0">
            <w:pPr>
              <w:tabs>
                <w:tab w:val="left" w:pos="240"/>
                <w:tab w:val="center" w:pos="4839"/>
              </w:tabs>
              <w:rPr>
                <w:rFonts w:ascii="Arial" w:hAnsi="Arial" w:cs="Arial"/>
              </w:rPr>
            </w:pPr>
            <w:r w:rsidRPr="006D5AC0">
              <w:rPr>
                <w:rFonts w:ascii="Arial" w:hAnsi="Arial" w:cs="Arial"/>
              </w:rPr>
              <w:t xml:space="preserve">Legislation enacted in 2015 allows Arkansas utilities to seek PSC approval to operate under an annually adjusted FRP. In filing to operate under an FRP, the utilities </w:t>
            </w:r>
            <w:r w:rsidR="0010764C">
              <w:rPr>
                <w:rFonts w:ascii="Arial" w:hAnsi="Arial" w:cs="Arial"/>
              </w:rPr>
              <w:t>are</w:t>
            </w:r>
            <w:r w:rsidRPr="006D5AC0">
              <w:rPr>
                <w:rFonts w:ascii="Arial" w:hAnsi="Arial" w:cs="Arial"/>
              </w:rPr>
              <w:t xml:space="preserve"> be required to select either an historical or a projected test year. All FRPs </w:t>
            </w:r>
            <w:r w:rsidR="0010764C">
              <w:rPr>
                <w:rFonts w:ascii="Arial" w:hAnsi="Arial" w:cs="Arial"/>
              </w:rPr>
              <w:t>must</w:t>
            </w:r>
            <w:r w:rsidRPr="006D5AC0">
              <w:rPr>
                <w:rFonts w:ascii="Arial" w:hAnsi="Arial" w:cs="Arial"/>
              </w:rPr>
              <w:t xml:space="preserve"> incorporate a plus-or-minus 50 basis point </w:t>
            </w:r>
            <w:proofErr w:type="spellStart"/>
            <w:r w:rsidRPr="006D5AC0">
              <w:rPr>
                <w:rFonts w:ascii="Arial" w:hAnsi="Arial" w:cs="Arial"/>
              </w:rPr>
              <w:t>deadband</w:t>
            </w:r>
            <w:proofErr w:type="spellEnd"/>
            <w:r w:rsidRPr="006D5AC0">
              <w:rPr>
                <w:rFonts w:ascii="Arial" w:hAnsi="Arial" w:cs="Arial"/>
              </w:rPr>
              <w:t xml:space="preserve"> around the ROE most recently approved for the utility; no rate adjustment </w:t>
            </w:r>
            <w:r w:rsidR="0010764C">
              <w:rPr>
                <w:rFonts w:ascii="Arial" w:hAnsi="Arial" w:cs="Arial"/>
              </w:rPr>
              <w:t xml:space="preserve">is </w:t>
            </w:r>
            <w:r w:rsidRPr="006D5AC0">
              <w:rPr>
                <w:rFonts w:ascii="Arial" w:hAnsi="Arial" w:cs="Arial"/>
              </w:rPr>
              <w:t xml:space="preserve">made if the company's earned ROE is within the </w:t>
            </w:r>
            <w:proofErr w:type="spellStart"/>
            <w:r w:rsidRPr="006D5AC0">
              <w:rPr>
                <w:rFonts w:ascii="Arial" w:hAnsi="Arial" w:cs="Arial"/>
              </w:rPr>
              <w:t>deadband</w:t>
            </w:r>
            <w:proofErr w:type="spellEnd"/>
            <w:r w:rsidRPr="006D5AC0">
              <w:rPr>
                <w:rFonts w:ascii="Arial" w:hAnsi="Arial" w:cs="Arial"/>
              </w:rPr>
              <w:t>.</w:t>
            </w:r>
          </w:p>
          <w:p w:rsidR="006D5AC0" w:rsidRDefault="006D5AC0" w:rsidP="006D5AC0">
            <w:pPr>
              <w:tabs>
                <w:tab w:val="left" w:pos="240"/>
                <w:tab w:val="center" w:pos="4839"/>
              </w:tabs>
              <w:rPr>
                <w:rFonts w:ascii="Arial" w:hAnsi="Arial" w:cs="Arial"/>
              </w:rPr>
            </w:pPr>
          </w:p>
          <w:p w:rsidR="006D5AC0" w:rsidRDefault="006D5AC0" w:rsidP="006D5AC0">
            <w:pPr>
              <w:tabs>
                <w:tab w:val="left" w:pos="240"/>
                <w:tab w:val="center" w:pos="4839"/>
              </w:tabs>
              <w:rPr>
                <w:rFonts w:ascii="Arial" w:hAnsi="Arial" w:cs="Arial"/>
              </w:rPr>
            </w:pPr>
            <w:r w:rsidRPr="006D5AC0">
              <w:rPr>
                <w:rFonts w:ascii="Arial" w:hAnsi="Arial" w:cs="Arial"/>
              </w:rPr>
              <w:t>CenterPoint on 7/31/19 filed a joint settlement agreement with staff and certain other intervenors including the Arkansas attorney general that reflects a total increase of $7.3 million.</w:t>
            </w:r>
          </w:p>
          <w:p w:rsidR="006D5AC0" w:rsidRPr="00B51D1F" w:rsidRDefault="006D5AC0" w:rsidP="006D5AC0">
            <w:pPr>
              <w:tabs>
                <w:tab w:val="left" w:pos="240"/>
                <w:tab w:val="center" w:pos="4839"/>
              </w:tabs>
              <w:rPr>
                <w:rFonts w:ascii="Arial" w:hAnsi="Arial" w:cs="Arial"/>
              </w:rPr>
            </w:pPr>
          </w:p>
        </w:tc>
      </w:tr>
      <w:tr w:rsidR="00125AE9" w:rsidRPr="00B51D1F" w:rsidTr="00584CF9">
        <w:trPr>
          <w:trHeight w:val="279"/>
        </w:trPr>
        <w:tc>
          <w:tcPr>
            <w:tcW w:w="9895" w:type="dxa"/>
            <w:gridSpan w:val="2"/>
            <w:shd w:val="clear" w:color="auto" w:fill="1F4E79" w:themeFill="accent1" w:themeFillShade="80"/>
          </w:tcPr>
          <w:p w:rsidR="00125AE9" w:rsidRPr="000602A6" w:rsidRDefault="00561328" w:rsidP="00125AE9">
            <w:pPr>
              <w:jc w:val="center"/>
              <w:rPr>
                <w:rFonts w:ascii="Arial" w:hAnsi="Arial" w:cs="Arial"/>
                <w:b/>
                <w:color w:val="FFFFFF" w:themeColor="background1"/>
              </w:rPr>
            </w:pPr>
            <w:r>
              <w:rPr>
                <w:rFonts w:ascii="Arial" w:hAnsi="Arial" w:cs="Arial"/>
                <w:b/>
                <w:color w:val="FFFFFF" w:themeColor="background1"/>
              </w:rPr>
              <w:t>August</w:t>
            </w:r>
            <w:r w:rsidR="00DF50CF">
              <w:rPr>
                <w:rFonts w:ascii="Arial" w:hAnsi="Arial" w:cs="Arial"/>
                <w:b/>
                <w:color w:val="FFFFFF" w:themeColor="background1"/>
              </w:rPr>
              <w:t xml:space="preserve"> </w:t>
            </w:r>
            <w:r>
              <w:rPr>
                <w:rFonts w:ascii="Arial" w:hAnsi="Arial" w:cs="Arial"/>
                <w:b/>
                <w:color w:val="FFFFFF" w:themeColor="background1"/>
              </w:rPr>
              <w:t>28</w:t>
            </w:r>
            <w:r w:rsidR="00DF50CF">
              <w:rPr>
                <w:rFonts w:ascii="Arial" w:hAnsi="Arial" w:cs="Arial"/>
                <w:b/>
                <w:color w:val="FFFFFF" w:themeColor="background1"/>
              </w:rPr>
              <w:t>, 2019</w:t>
            </w:r>
          </w:p>
        </w:tc>
      </w:tr>
      <w:tr w:rsidR="00125AE9" w:rsidRPr="00B51D1F" w:rsidTr="002E5982">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125AE9" w:rsidRPr="000602A6" w:rsidRDefault="00561328" w:rsidP="00125AE9">
            <w:pPr>
              <w:rPr>
                <w:rFonts w:ascii="Arial" w:hAnsi="Arial" w:cs="Arial"/>
              </w:rPr>
            </w:pPr>
            <w:r>
              <w:rPr>
                <w:rFonts w:ascii="Arial" w:hAnsi="Arial" w:cs="Arial"/>
              </w:rPr>
              <w:t>Vectren Energy Delivery Ohio</w:t>
            </w:r>
          </w:p>
        </w:tc>
      </w:tr>
      <w:tr w:rsidR="00125AE9" w:rsidRPr="00B51D1F" w:rsidTr="002E5982">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rsidR="00125AE9" w:rsidRPr="000602A6" w:rsidRDefault="00561328" w:rsidP="00125AE9">
            <w:pPr>
              <w:rPr>
                <w:rFonts w:ascii="Arial" w:hAnsi="Arial" w:cs="Arial"/>
              </w:rPr>
            </w:pPr>
            <w:r>
              <w:rPr>
                <w:rFonts w:ascii="Arial" w:hAnsi="Arial" w:cs="Arial"/>
              </w:rPr>
              <w:t>Ohio</w:t>
            </w:r>
          </w:p>
        </w:tc>
      </w:tr>
      <w:tr w:rsidR="00125AE9" w:rsidRPr="00B51D1F" w:rsidTr="002E5982">
        <w:trPr>
          <w:trHeight w:val="263"/>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125AE9" w:rsidRPr="008A2167" w:rsidRDefault="00561328" w:rsidP="00125AE9">
            <w:pPr>
              <w:rPr>
                <w:rFonts w:ascii="Arial" w:hAnsi="Arial" w:cs="Arial"/>
              </w:rPr>
            </w:pPr>
            <w:hyperlink r:id="rId13" w:history="1">
              <w:r w:rsidRPr="00561328">
                <w:rPr>
                  <w:rStyle w:val="Hyperlink"/>
                  <w:rFonts w:ascii="Arial" w:hAnsi="Arial" w:cs="Arial"/>
                </w:rPr>
                <w:t>Case No. 18-029</w:t>
              </w:r>
              <w:r w:rsidRPr="00561328">
                <w:rPr>
                  <w:rStyle w:val="Hyperlink"/>
                  <w:rFonts w:ascii="Arial" w:hAnsi="Arial" w:cs="Arial"/>
                </w:rPr>
                <w:t>8-GA-AIR</w:t>
              </w:r>
            </w:hyperlink>
          </w:p>
        </w:tc>
      </w:tr>
      <w:tr w:rsidR="00125AE9" w:rsidRPr="00B51D1F" w:rsidTr="002E5982">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125AE9" w:rsidRPr="00861F4B" w:rsidRDefault="00880796" w:rsidP="00125AE9">
            <w:pPr>
              <w:rPr>
                <w:rFonts w:ascii="Arial" w:hAnsi="Arial" w:cs="Arial"/>
              </w:rPr>
            </w:pPr>
            <w:r>
              <w:rPr>
                <w:rFonts w:ascii="Arial" w:hAnsi="Arial" w:cs="Arial"/>
              </w:rPr>
              <w:t>$</w:t>
            </w:r>
            <w:r w:rsidR="00561328">
              <w:rPr>
                <w:rFonts w:ascii="Arial" w:hAnsi="Arial" w:cs="Arial"/>
              </w:rPr>
              <w:t>22,700,000</w:t>
            </w:r>
          </w:p>
        </w:tc>
      </w:tr>
      <w:tr w:rsidR="00125AE9" w:rsidRPr="00B51D1F" w:rsidTr="002E5982">
        <w:trPr>
          <w:trHeight w:val="263"/>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125AE9" w:rsidRPr="00861F4B" w:rsidRDefault="00125AE9" w:rsidP="00125AE9">
            <w:pPr>
              <w:rPr>
                <w:rFonts w:ascii="Arial" w:hAnsi="Arial" w:cs="Arial"/>
              </w:rPr>
            </w:pPr>
          </w:p>
        </w:tc>
      </w:tr>
      <w:tr w:rsidR="00125AE9" w:rsidRPr="00B51D1F" w:rsidTr="002E5982">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lastRenderedPageBreak/>
              <w:t>Intervenors</w:t>
            </w:r>
          </w:p>
        </w:tc>
        <w:tc>
          <w:tcPr>
            <w:tcW w:w="7650" w:type="dxa"/>
          </w:tcPr>
          <w:p w:rsidR="0010764C" w:rsidRPr="00861F4B" w:rsidRDefault="00DD6621" w:rsidP="00125AE9">
            <w:pPr>
              <w:rPr>
                <w:rFonts w:ascii="Arial" w:hAnsi="Arial" w:cs="Arial"/>
              </w:rPr>
            </w:pPr>
            <w:r w:rsidRPr="00DD6621">
              <w:rPr>
                <w:rFonts w:ascii="Arial" w:hAnsi="Arial" w:cs="Arial"/>
              </w:rPr>
              <w:t>Ohio Consumers’ Counsel, Ohio Partners for Affordable Energy and The Environmental Law &amp; Policy Center</w:t>
            </w:r>
            <w:r w:rsidR="00FF57B6">
              <w:rPr>
                <w:rFonts w:ascii="Arial" w:hAnsi="Arial" w:cs="Arial"/>
              </w:rPr>
              <w:t xml:space="preserve">, </w:t>
            </w:r>
            <w:r w:rsidR="00FF57B6" w:rsidRPr="00FF57B6">
              <w:rPr>
                <w:rFonts w:ascii="Arial" w:hAnsi="Arial" w:cs="Arial"/>
              </w:rPr>
              <w:t>Retail Energy Supply Association</w:t>
            </w:r>
            <w:r w:rsidR="00FF57B6">
              <w:rPr>
                <w:rFonts w:ascii="Arial" w:hAnsi="Arial" w:cs="Arial"/>
              </w:rPr>
              <w:t xml:space="preserve">, </w:t>
            </w:r>
            <w:r w:rsidR="00FF57B6" w:rsidRPr="00FF57B6">
              <w:rPr>
                <w:rFonts w:ascii="Arial" w:hAnsi="Arial" w:cs="Arial"/>
              </w:rPr>
              <w:t>IGS Energy</w:t>
            </w:r>
            <w:r w:rsidR="00FF57B6">
              <w:rPr>
                <w:rFonts w:ascii="Arial" w:hAnsi="Arial" w:cs="Arial"/>
              </w:rPr>
              <w:t xml:space="preserve">, </w:t>
            </w:r>
            <w:r w:rsidR="00FF57B6" w:rsidRPr="00FF57B6">
              <w:rPr>
                <w:rFonts w:ascii="Arial" w:hAnsi="Arial" w:cs="Arial"/>
              </w:rPr>
              <w:t>City of Dayton</w:t>
            </w:r>
            <w:r w:rsidR="00FF57B6">
              <w:rPr>
                <w:rFonts w:ascii="Arial" w:hAnsi="Arial" w:cs="Arial"/>
              </w:rPr>
              <w:t xml:space="preserve">, and </w:t>
            </w:r>
            <w:r w:rsidR="00FF57B6" w:rsidRPr="00FF57B6">
              <w:rPr>
                <w:rFonts w:ascii="Arial" w:hAnsi="Arial" w:cs="Arial"/>
              </w:rPr>
              <w:t>Honda of America Mfg., Inc</w:t>
            </w:r>
            <w:r w:rsidR="00FF57B6">
              <w:rPr>
                <w:rFonts w:ascii="Arial" w:hAnsi="Arial" w:cs="Arial"/>
              </w:rPr>
              <w:t xml:space="preserve">, </w:t>
            </w:r>
          </w:p>
        </w:tc>
      </w:tr>
      <w:tr w:rsidR="00125AE9" w:rsidRPr="00B51D1F" w:rsidTr="00584CF9">
        <w:trPr>
          <w:trHeight w:val="263"/>
        </w:trPr>
        <w:tc>
          <w:tcPr>
            <w:tcW w:w="9895" w:type="dxa"/>
            <w:gridSpan w:val="2"/>
            <w:shd w:val="clear" w:color="auto" w:fill="1F4E79" w:themeFill="accent1" w:themeFillShade="80"/>
          </w:tcPr>
          <w:p w:rsidR="00125AE9" w:rsidRPr="00B51D1F" w:rsidRDefault="00125AE9" w:rsidP="00125AE9">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125AE9" w:rsidRPr="00B51D1F" w:rsidTr="000E667C">
        <w:trPr>
          <w:trHeight w:val="263"/>
        </w:trPr>
        <w:tc>
          <w:tcPr>
            <w:tcW w:w="9895" w:type="dxa"/>
            <w:gridSpan w:val="2"/>
            <w:shd w:val="clear" w:color="auto" w:fill="auto"/>
          </w:tcPr>
          <w:p w:rsidR="00DD6621" w:rsidRDefault="00DD6621" w:rsidP="002A162A">
            <w:pPr>
              <w:tabs>
                <w:tab w:val="left" w:pos="240"/>
                <w:tab w:val="center" w:pos="4839"/>
              </w:tabs>
              <w:rPr>
                <w:rFonts w:ascii="Arial" w:hAnsi="Arial" w:cs="Arial"/>
              </w:rPr>
            </w:pPr>
            <w:r w:rsidRPr="00DD6621">
              <w:rPr>
                <w:rFonts w:ascii="Arial" w:hAnsi="Arial" w:cs="Arial"/>
              </w:rPr>
              <w:t>The Public Utilities Commission of Ohio adopted a settlement on Aug. 28, providing for CenterPoint Energy Inc. subsidiary Vectren Energy Delivery of Ohio Inc.</w:t>
            </w:r>
            <w:r>
              <w:rPr>
                <w:rFonts w:ascii="Arial" w:hAnsi="Arial" w:cs="Arial"/>
              </w:rPr>
              <w:t xml:space="preserve"> </w:t>
            </w:r>
            <w:r w:rsidRPr="00DD6621">
              <w:rPr>
                <w:rFonts w:ascii="Arial" w:hAnsi="Arial" w:cs="Arial"/>
              </w:rPr>
              <w:t xml:space="preserve">to increase its gas distribution base rates by $22.7 million. </w:t>
            </w:r>
          </w:p>
          <w:p w:rsidR="00DD6621" w:rsidRDefault="00DD6621" w:rsidP="002A162A">
            <w:pPr>
              <w:tabs>
                <w:tab w:val="left" w:pos="240"/>
                <w:tab w:val="center" w:pos="4839"/>
              </w:tabs>
              <w:rPr>
                <w:rFonts w:ascii="Arial" w:hAnsi="Arial" w:cs="Arial"/>
              </w:rPr>
            </w:pPr>
          </w:p>
          <w:p w:rsidR="00973AEB" w:rsidRDefault="00DD6621" w:rsidP="002A162A">
            <w:pPr>
              <w:tabs>
                <w:tab w:val="left" w:pos="240"/>
                <w:tab w:val="center" w:pos="4839"/>
              </w:tabs>
              <w:rPr>
                <w:rFonts w:ascii="Arial" w:hAnsi="Arial" w:cs="Arial"/>
              </w:rPr>
            </w:pPr>
            <w:r w:rsidRPr="00DD6621">
              <w:rPr>
                <w:rFonts w:ascii="Arial" w:hAnsi="Arial" w:cs="Arial"/>
              </w:rPr>
              <w:t>The settlement and PUC order are largely silent regarding rate of return parameters but specify an overall return that approximates the upper-end of the return range recommended by the PUC staff earlier in the proceeding.</w:t>
            </w:r>
            <w:r>
              <w:rPr>
                <w:rFonts w:ascii="Arial" w:hAnsi="Arial" w:cs="Arial"/>
              </w:rPr>
              <w:t xml:space="preserve"> </w:t>
            </w:r>
            <w:r w:rsidRPr="00DD6621">
              <w:rPr>
                <w:rFonts w:ascii="Arial" w:hAnsi="Arial" w:cs="Arial"/>
              </w:rPr>
              <w:t>The approved settlement provides for VEDO to continue to use its distribution replacement rider for investments to be made through at least Dec. 31, 2023, subject to certain per-customer rate caps, and to utilize a straight-fixed-variable rate design for certain customers that were not already subject to such provisions.</w:t>
            </w:r>
          </w:p>
          <w:p w:rsidR="00DD6621" w:rsidRDefault="00DD6621" w:rsidP="002A162A">
            <w:pPr>
              <w:tabs>
                <w:tab w:val="left" w:pos="240"/>
                <w:tab w:val="center" w:pos="4839"/>
              </w:tabs>
              <w:rPr>
                <w:rFonts w:ascii="Arial" w:hAnsi="Arial" w:cs="Arial"/>
              </w:rPr>
            </w:pPr>
          </w:p>
          <w:p w:rsidR="00DD6621" w:rsidRDefault="00DD6621" w:rsidP="00DD6621">
            <w:pPr>
              <w:tabs>
                <w:tab w:val="left" w:pos="240"/>
                <w:tab w:val="center" w:pos="4839"/>
              </w:tabs>
              <w:rPr>
                <w:rFonts w:ascii="Arial" w:hAnsi="Arial" w:cs="Arial"/>
              </w:rPr>
            </w:pPr>
            <w:r w:rsidRPr="00DD6621">
              <w:rPr>
                <w:rFonts w:ascii="Arial" w:hAnsi="Arial" w:cs="Arial"/>
              </w:rPr>
              <w:t>The authorized rate increase is premised upon a 7.48% return on a $622.3 million rate base. The settlement and PUC</w:t>
            </w:r>
            <w:r>
              <w:rPr>
                <w:rFonts w:ascii="Arial" w:hAnsi="Arial" w:cs="Arial"/>
              </w:rPr>
              <w:t xml:space="preserve"> </w:t>
            </w:r>
            <w:r w:rsidRPr="00DD6621">
              <w:rPr>
                <w:rFonts w:ascii="Arial" w:hAnsi="Arial" w:cs="Arial"/>
              </w:rPr>
              <w:t>order are silent regarding return on equity and capital structure. The PUC acknowledged that the stipulated return</w:t>
            </w:r>
            <w:r>
              <w:rPr>
                <w:rFonts w:ascii="Arial" w:hAnsi="Arial" w:cs="Arial"/>
              </w:rPr>
              <w:t xml:space="preserve"> </w:t>
            </w:r>
            <w:r w:rsidRPr="00DD6621">
              <w:rPr>
                <w:rFonts w:ascii="Arial" w:hAnsi="Arial" w:cs="Arial"/>
              </w:rPr>
              <w:t>was within the range of returns recommended by the staff</w:t>
            </w:r>
            <w:r>
              <w:rPr>
                <w:rFonts w:ascii="Arial" w:hAnsi="Arial" w:cs="Arial"/>
              </w:rPr>
              <w:t xml:space="preserve"> </w:t>
            </w:r>
            <w:r w:rsidRPr="00DD6621">
              <w:rPr>
                <w:rFonts w:ascii="Arial" w:hAnsi="Arial" w:cs="Arial"/>
              </w:rPr>
              <w:t>and is a “reasonable compromise and, as part of the entire</w:t>
            </w:r>
            <w:r>
              <w:rPr>
                <w:rFonts w:ascii="Arial" w:hAnsi="Arial" w:cs="Arial"/>
              </w:rPr>
              <w:t xml:space="preserve"> </w:t>
            </w:r>
            <w:r w:rsidRPr="00DD6621">
              <w:rPr>
                <w:rFonts w:ascii="Arial" w:hAnsi="Arial" w:cs="Arial"/>
              </w:rPr>
              <w:t>settlement package, is in the public interest.”</w:t>
            </w:r>
          </w:p>
          <w:p w:rsidR="00DD6621" w:rsidRDefault="00DD6621" w:rsidP="00DD6621">
            <w:pPr>
              <w:tabs>
                <w:tab w:val="left" w:pos="240"/>
                <w:tab w:val="center" w:pos="4839"/>
              </w:tabs>
              <w:rPr>
                <w:rFonts w:ascii="Arial" w:hAnsi="Arial" w:cs="Arial"/>
              </w:rPr>
            </w:pPr>
          </w:p>
          <w:p w:rsidR="00DD6621" w:rsidRDefault="00DD6621" w:rsidP="00DD6621">
            <w:pPr>
              <w:tabs>
                <w:tab w:val="left" w:pos="240"/>
                <w:tab w:val="center" w:pos="4839"/>
              </w:tabs>
              <w:rPr>
                <w:rFonts w:ascii="Arial" w:hAnsi="Arial" w:cs="Arial"/>
              </w:rPr>
            </w:pPr>
            <w:r w:rsidRPr="00DD6621">
              <w:rPr>
                <w:rFonts w:ascii="Arial" w:hAnsi="Arial" w:cs="Arial"/>
              </w:rPr>
              <w:t>The approved settlement provides for VEDO to continue to use its distribution replacement rider to account for</w:t>
            </w:r>
            <w:r>
              <w:rPr>
                <w:rFonts w:ascii="Arial" w:hAnsi="Arial" w:cs="Arial"/>
              </w:rPr>
              <w:t xml:space="preserve"> </w:t>
            </w:r>
            <w:r w:rsidRPr="00DD6621">
              <w:rPr>
                <w:rFonts w:ascii="Arial" w:hAnsi="Arial" w:cs="Arial"/>
              </w:rPr>
              <w:t>investments to be made through at least Dec. 31, 2023, subject to certain monthly per-customer rate caps</w:t>
            </w:r>
            <w:r>
              <w:rPr>
                <w:rFonts w:ascii="Arial" w:hAnsi="Arial" w:cs="Arial"/>
              </w:rPr>
              <w:t>.</w:t>
            </w:r>
          </w:p>
          <w:p w:rsidR="00DD6621" w:rsidRDefault="00DD6621" w:rsidP="00DD6621">
            <w:pPr>
              <w:tabs>
                <w:tab w:val="left" w:pos="240"/>
                <w:tab w:val="center" w:pos="4839"/>
              </w:tabs>
              <w:rPr>
                <w:rFonts w:ascii="Arial" w:hAnsi="Arial" w:cs="Arial"/>
              </w:rPr>
            </w:pPr>
          </w:p>
          <w:p w:rsidR="00DD6621" w:rsidRDefault="00DD6621" w:rsidP="00DD6621">
            <w:pPr>
              <w:tabs>
                <w:tab w:val="left" w:pos="240"/>
                <w:tab w:val="center" w:pos="4839"/>
              </w:tabs>
              <w:rPr>
                <w:rFonts w:ascii="Arial" w:hAnsi="Arial" w:cs="Arial"/>
              </w:rPr>
            </w:pPr>
            <w:r w:rsidRPr="00DD6621">
              <w:rPr>
                <w:rFonts w:ascii="Arial" w:hAnsi="Arial" w:cs="Arial"/>
              </w:rPr>
              <w:t>VEDO is to credit ratepayers, through a rider that is to be implemented at the conclusion of Case No. 19-0029-GA-ATA, the excess accumulated deferred income taxes, or EADIT, attributable to federal tax reform and the reduced income tax expense for the “stub” period Jan. 1, 2018, through Sept. 1, 2019, the date new rates took effect in this case.</w:t>
            </w:r>
          </w:p>
          <w:p w:rsidR="00DD6621" w:rsidRDefault="00DD6621" w:rsidP="00DD6621">
            <w:pPr>
              <w:tabs>
                <w:tab w:val="left" w:pos="240"/>
                <w:tab w:val="center" w:pos="4839"/>
              </w:tabs>
              <w:rPr>
                <w:rFonts w:ascii="Arial" w:hAnsi="Arial" w:cs="Arial"/>
              </w:rPr>
            </w:pPr>
          </w:p>
          <w:p w:rsidR="00DD6621" w:rsidRDefault="00FF57B6" w:rsidP="002A162A">
            <w:pPr>
              <w:tabs>
                <w:tab w:val="left" w:pos="240"/>
                <w:tab w:val="center" w:pos="4839"/>
              </w:tabs>
              <w:rPr>
                <w:rFonts w:ascii="Arial" w:hAnsi="Arial" w:cs="Arial"/>
              </w:rPr>
            </w:pPr>
            <w:r w:rsidRPr="00FF57B6">
              <w:rPr>
                <w:rFonts w:ascii="Arial" w:hAnsi="Arial" w:cs="Arial"/>
              </w:rPr>
              <w:t xml:space="preserve">VEDO is </w:t>
            </w:r>
            <w:r w:rsidR="00804214">
              <w:rPr>
                <w:rFonts w:ascii="Arial" w:hAnsi="Arial" w:cs="Arial"/>
              </w:rPr>
              <w:t xml:space="preserve">also required </w:t>
            </w:r>
            <w:r w:rsidRPr="00FF57B6">
              <w:rPr>
                <w:rFonts w:ascii="Arial" w:hAnsi="Arial" w:cs="Arial"/>
              </w:rPr>
              <w:t>to implement a modified version of its proposed energy conversion factor. The company is required to submit a notice of intent to file its next rate case utilizing a “date certain” to value rate base of no later than Dec. 31, 2024.</w:t>
            </w:r>
          </w:p>
          <w:p w:rsidR="00804214" w:rsidRPr="004A577F" w:rsidRDefault="00804214" w:rsidP="002A162A">
            <w:pPr>
              <w:tabs>
                <w:tab w:val="left" w:pos="240"/>
                <w:tab w:val="center" w:pos="4839"/>
              </w:tabs>
              <w:rPr>
                <w:rFonts w:ascii="Arial" w:hAnsi="Arial" w:cs="Arial"/>
              </w:rPr>
            </w:pPr>
          </w:p>
        </w:tc>
      </w:tr>
      <w:tr w:rsidR="002A162A" w:rsidRPr="000602A6" w:rsidTr="00975117">
        <w:trPr>
          <w:trHeight w:val="279"/>
        </w:trPr>
        <w:tc>
          <w:tcPr>
            <w:tcW w:w="9895" w:type="dxa"/>
            <w:gridSpan w:val="2"/>
            <w:shd w:val="clear" w:color="auto" w:fill="1F4E79" w:themeFill="accent1" w:themeFillShade="80"/>
          </w:tcPr>
          <w:p w:rsidR="002A162A" w:rsidRPr="000602A6" w:rsidRDefault="002A162A" w:rsidP="00975117">
            <w:pPr>
              <w:jc w:val="center"/>
              <w:rPr>
                <w:rFonts w:ascii="Arial" w:hAnsi="Arial" w:cs="Arial"/>
                <w:b/>
                <w:color w:val="FFFFFF" w:themeColor="background1"/>
              </w:rPr>
            </w:pPr>
            <w:r>
              <w:rPr>
                <w:rFonts w:ascii="Arial" w:hAnsi="Arial" w:cs="Arial"/>
                <w:b/>
                <w:color w:val="FFFFFF" w:themeColor="background1"/>
              </w:rPr>
              <w:t>August 29, 2019</w:t>
            </w:r>
          </w:p>
        </w:tc>
      </w:tr>
      <w:tr w:rsidR="002A162A" w:rsidRPr="000602A6"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2A162A" w:rsidRPr="000602A6" w:rsidRDefault="002A162A" w:rsidP="00975117">
            <w:pPr>
              <w:rPr>
                <w:rFonts w:ascii="Arial" w:hAnsi="Arial" w:cs="Arial"/>
              </w:rPr>
            </w:pPr>
            <w:r>
              <w:rPr>
                <w:rFonts w:ascii="Arial" w:hAnsi="Arial" w:cs="Arial"/>
              </w:rPr>
              <w:t>Virginia Natural Gas Inc.</w:t>
            </w:r>
          </w:p>
        </w:tc>
      </w:tr>
      <w:tr w:rsidR="002A162A" w:rsidRPr="00B51D1F"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rsidR="002A162A" w:rsidRPr="00B51D1F" w:rsidRDefault="00FF57B6" w:rsidP="00975117">
            <w:pPr>
              <w:rPr>
                <w:rFonts w:ascii="Arial" w:hAnsi="Arial" w:cs="Arial"/>
              </w:rPr>
            </w:pPr>
            <w:r>
              <w:rPr>
                <w:rFonts w:ascii="Arial" w:hAnsi="Arial" w:cs="Arial"/>
              </w:rPr>
              <w:t>Virginia</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2A162A" w:rsidRPr="00B51D1F" w:rsidRDefault="003B451E" w:rsidP="00975117">
            <w:pPr>
              <w:rPr>
                <w:rFonts w:ascii="Arial" w:hAnsi="Arial" w:cs="Arial"/>
                <w:color w:val="0000FF"/>
                <w:u w:val="single"/>
              </w:rPr>
            </w:pPr>
            <w:hyperlink r:id="rId14" w:anchor="caseDocs/139787" w:history="1">
              <w:r w:rsidRPr="003B451E">
                <w:rPr>
                  <w:rStyle w:val="Hyperlink"/>
                  <w:rFonts w:ascii="Arial" w:hAnsi="Arial" w:cs="Arial"/>
                </w:rPr>
                <w:t>C-PUR-2019-0</w:t>
              </w:r>
              <w:r w:rsidRPr="003B451E">
                <w:rPr>
                  <w:rStyle w:val="Hyperlink"/>
                  <w:rFonts w:ascii="Arial" w:hAnsi="Arial" w:cs="Arial"/>
                </w:rPr>
                <w:t>0095</w:t>
              </w:r>
            </w:hyperlink>
          </w:p>
        </w:tc>
      </w:tr>
      <w:tr w:rsidR="002A162A" w:rsidRPr="00416BC2"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2A162A" w:rsidRPr="00416BC2" w:rsidRDefault="003B451E" w:rsidP="00975117">
            <w:pPr>
              <w:rPr>
                <w:rFonts w:ascii="Arial" w:hAnsi="Arial" w:cs="Arial"/>
              </w:rPr>
            </w:pPr>
            <w:r>
              <w:rPr>
                <w:rFonts w:ascii="Arial" w:hAnsi="Arial" w:cs="Arial"/>
              </w:rPr>
              <w:t>$4,923,633</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2A162A" w:rsidRPr="00B51D1F" w:rsidRDefault="00242B67" w:rsidP="00975117">
            <w:pPr>
              <w:rPr>
                <w:rFonts w:ascii="Arial" w:hAnsi="Arial" w:cs="Arial"/>
              </w:rPr>
            </w:pPr>
            <w:r>
              <w:rPr>
                <w:rFonts w:ascii="Arial" w:hAnsi="Arial" w:cs="Arial"/>
              </w:rPr>
              <w:t>9.50%</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7650" w:type="dxa"/>
          </w:tcPr>
          <w:p w:rsidR="002A162A" w:rsidRPr="00B51D1F" w:rsidRDefault="002A162A" w:rsidP="00975117">
            <w:pPr>
              <w:rPr>
                <w:rFonts w:ascii="Arial" w:hAnsi="Arial" w:cs="Arial"/>
              </w:rPr>
            </w:pPr>
          </w:p>
        </w:tc>
      </w:tr>
      <w:tr w:rsidR="002A162A" w:rsidRPr="00B51D1F" w:rsidTr="00975117">
        <w:trPr>
          <w:trHeight w:val="263"/>
        </w:trPr>
        <w:tc>
          <w:tcPr>
            <w:tcW w:w="9895" w:type="dxa"/>
            <w:gridSpan w:val="2"/>
            <w:shd w:val="clear" w:color="auto" w:fill="1F4E79" w:themeFill="accent1" w:themeFillShade="80"/>
          </w:tcPr>
          <w:p w:rsidR="002A162A" w:rsidRPr="00B51D1F" w:rsidRDefault="002A162A" w:rsidP="0097511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2A162A" w:rsidRPr="00B51D1F" w:rsidTr="00975117">
        <w:trPr>
          <w:trHeight w:val="263"/>
        </w:trPr>
        <w:tc>
          <w:tcPr>
            <w:tcW w:w="9895" w:type="dxa"/>
            <w:gridSpan w:val="2"/>
            <w:shd w:val="clear" w:color="auto" w:fill="FFFFFF" w:themeFill="background1"/>
          </w:tcPr>
          <w:p w:rsidR="00242B67" w:rsidRDefault="00242B67" w:rsidP="00242B67">
            <w:pPr>
              <w:tabs>
                <w:tab w:val="left" w:pos="240"/>
                <w:tab w:val="center" w:pos="4839"/>
              </w:tabs>
              <w:rPr>
                <w:rFonts w:ascii="Arial" w:hAnsi="Arial" w:cs="Arial"/>
              </w:rPr>
            </w:pPr>
            <w:r>
              <w:rPr>
                <w:rFonts w:ascii="Arial" w:hAnsi="Arial" w:cs="Arial"/>
              </w:rPr>
              <w:t xml:space="preserve">On August 29 the State Corporation Commission of Virginia approved the annual SAVE Rider update for Virginia Natural Gas. The order </w:t>
            </w:r>
            <w:r w:rsidRPr="00242B67">
              <w:rPr>
                <w:rFonts w:ascii="Arial" w:hAnsi="Arial" w:cs="Arial"/>
              </w:rPr>
              <w:t xml:space="preserve">approved the Company's recovery of SAVE Rider revenues through a fixed rather than </w:t>
            </w:r>
            <w:r>
              <w:rPr>
                <w:rFonts w:ascii="Arial" w:hAnsi="Arial" w:cs="Arial"/>
              </w:rPr>
              <w:t xml:space="preserve">a </w:t>
            </w:r>
            <w:r w:rsidRPr="00242B67">
              <w:rPr>
                <w:rFonts w:ascii="Arial" w:hAnsi="Arial" w:cs="Arial"/>
              </w:rPr>
              <w:t>volumetric rate</w:t>
            </w:r>
            <w:r>
              <w:rPr>
                <w:rFonts w:ascii="Arial" w:hAnsi="Arial" w:cs="Arial"/>
              </w:rPr>
              <w:t xml:space="preserve">. The </w:t>
            </w:r>
            <w:r w:rsidR="005D587E">
              <w:rPr>
                <w:rFonts w:ascii="Arial" w:hAnsi="Arial" w:cs="Arial"/>
              </w:rPr>
              <w:t xml:space="preserve">SCC </w:t>
            </w:r>
            <w:r>
              <w:rPr>
                <w:rFonts w:ascii="Arial" w:hAnsi="Arial" w:cs="Arial"/>
              </w:rPr>
              <w:t xml:space="preserve">approved a rate increase of $4.9 </w:t>
            </w:r>
            <w:r>
              <w:rPr>
                <w:rFonts w:ascii="Arial" w:hAnsi="Arial" w:cs="Arial"/>
              </w:rPr>
              <w:lastRenderedPageBreak/>
              <w:t xml:space="preserve">million based on a 9.5% return on equity </w:t>
            </w:r>
            <w:r w:rsidR="002E4368">
              <w:rPr>
                <w:rFonts w:ascii="Arial" w:hAnsi="Arial" w:cs="Arial"/>
              </w:rPr>
              <w:t>and 6</w:t>
            </w:r>
            <w:r w:rsidR="002E4368" w:rsidRPr="002E4368">
              <w:rPr>
                <w:rFonts w:ascii="Arial" w:hAnsi="Arial" w:cs="Arial"/>
              </w:rPr>
              <w:t>.8</w:t>
            </w:r>
            <w:r w:rsidR="002E4368">
              <w:rPr>
                <w:rFonts w:ascii="Arial" w:hAnsi="Arial" w:cs="Arial"/>
              </w:rPr>
              <w:t>6</w:t>
            </w:r>
            <w:r w:rsidR="002E4368" w:rsidRPr="002E4368">
              <w:rPr>
                <w:rFonts w:ascii="Arial" w:hAnsi="Arial" w:cs="Arial"/>
              </w:rPr>
              <w:t>% return on year-end rate base valued at $</w:t>
            </w:r>
            <w:r w:rsidR="002E4368">
              <w:rPr>
                <w:rFonts w:ascii="Arial" w:hAnsi="Arial" w:cs="Arial"/>
              </w:rPr>
              <w:t>66</w:t>
            </w:r>
            <w:r w:rsidR="002E4368" w:rsidRPr="002E4368">
              <w:rPr>
                <w:rFonts w:ascii="Arial" w:hAnsi="Arial" w:cs="Arial"/>
              </w:rPr>
              <w:t>.</w:t>
            </w:r>
            <w:r w:rsidR="002E4368">
              <w:rPr>
                <w:rFonts w:ascii="Arial" w:hAnsi="Arial" w:cs="Arial"/>
              </w:rPr>
              <w:t>9</w:t>
            </w:r>
            <w:r w:rsidR="002E4368" w:rsidRPr="002E4368">
              <w:rPr>
                <w:rFonts w:ascii="Arial" w:hAnsi="Arial" w:cs="Arial"/>
              </w:rPr>
              <w:t xml:space="preserve"> million for a test period ending </w:t>
            </w:r>
            <w:r w:rsidR="002E4368">
              <w:rPr>
                <w:rFonts w:ascii="Arial" w:hAnsi="Arial" w:cs="Arial"/>
              </w:rPr>
              <w:t>August</w:t>
            </w:r>
            <w:r w:rsidR="002E4368" w:rsidRPr="002E4368">
              <w:rPr>
                <w:rFonts w:ascii="Arial" w:hAnsi="Arial" w:cs="Arial"/>
              </w:rPr>
              <w:t xml:space="preserve"> 3</w:t>
            </w:r>
            <w:r w:rsidR="002E4368">
              <w:rPr>
                <w:rFonts w:ascii="Arial" w:hAnsi="Arial" w:cs="Arial"/>
              </w:rPr>
              <w:t>1</w:t>
            </w:r>
            <w:r w:rsidR="002E4368" w:rsidRPr="002E4368">
              <w:rPr>
                <w:rFonts w:ascii="Arial" w:hAnsi="Arial" w:cs="Arial"/>
              </w:rPr>
              <w:t>, 2020</w:t>
            </w:r>
            <w:r w:rsidR="002E4368">
              <w:rPr>
                <w:rFonts w:ascii="Arial" w:hAnsi="Arial" w:cs="Arial"/>
              </w:rPr>
              <w:t xml:space="preserve">. </w:t>
            </w:r>
          </w:p>
          <w:p w:rsidR="00242B67" w:rsidRDefault="00242B67" w:rsidP="00242B67">
            <w:pPr>
              <w:tabs>
                <w:tab w:val="left" w:pos="240"/>
                <w:tab w:val="center" w:pos="4839"/>
              </w:tabs>
              <w:rPr>
                <w:rFonts w:ascii="Arial" w:hAnsi="Arial" w:cs="Arial"/>
              </w:rPr>
            </w:pPr>
          </w:p>
          <w:p w:rsidR="00242B67" w:rsidRDefault="00242B67" w:rsidP="00242B67">
            <w:pPr>
              <w:tabs>
                <w:tab w:val="left" w:pos="240"/>
                <w:tab w:val="center" w:pos="4839"/>
              </w:tabs>
              <w:rPr>
                <w:rFonts w:ascii="Arial" w:hAnsi="Arial" w:cs="Arial"/>
              </w:rPr>
            </w:pPr>
            <w:r w:rsidRPr="00242B67">
              <w:rPr>
                <w:rFonts w:ascii="Arial" w:hAnsi="Arial" w:cs="Arial"/>
              </w:rPr>
              <w:t>The requested ROE is as agreed by the parties to the company's 2017 base rate case for use in "non-base-rate-case" proceedings.</w:t>
            </w:r>
          </w:p>
          <w:p w:rsidR="00242B67" w:rsidRPr="00242B67" w:rsidRDefault="00242B67" w:rsidP="00242B67">
            <w:pPr>
              <w:tabs>
                <w:tab w:val="left" w:pos="240"/>
                <w:tab w:val="center" w:pos="4839"/>
              </w:tabs>
              <w:rPr>
                <w:rFonts w:ascii="Arial" w:hAnsi="Arial" w:cs="Arial"/>
              </w:rPr>
            </w:pPr>
          </w:p>
          <w:p w:rsidR="002A162A" w:rsidRDefault="00242B67" w:rsidP="00242B67">
            <w:pPr>
              <w:tabs>
                <w:tab w:val="left" w:pos="240"/>
                <w:tab w:val="center" w:pos="4839"/>
              </w:tabs>
              <w:rPr>
                <w:rFonts w:ascii="Arial" w:hAnsi="Arial" w:cs="Arial"/>
              </w:rPr>
            </w:pPr>
            <w:r w:rsidRPr="00242B67">
              <w:rPr>
                <w:rFonts w:ascii="Arial" w:hAnsi="Arial" w:cs="Arial"/>
              </w:rPr>
              <w:t>Staff propose</w:t>
            </w:r>
            <w:r>
              <w:rPr>
                <w:rFonts w:ascii="Arial" w:hAnsi="Arial" w:cs="Arial"/>
              </w:rPr>
              <w:t>d</w:t>
            </w:r>
            <w:r w:rsidRPr="00242B67">
              <w:rPr>
                <w:rFonts w:ascii="Arial" w:hAnsi="Arial" w:cs="Arial"/>
              </w:rPr>
              <w:t xml:space="preserve"> modest adjustments to plant retirements, property taxes and other items that modestly increased the revenue requirement.</w:t>
            </w:r>
            <w:r>
              <w:rPr>
                <w:rFonts w:ascii="Arial" w:hAnsi="Arial" w:cs="Arial"/>
              </w:rPr>
              <w:t xml:space="preserve"> </w:t>
            </w:r>
            <w:r w:rsidRPr="00242B67">
              <w:rPr>
                <w:rFonts w:ascii="Arial" w:hAnsi="Arial" w:cs="Arial"/>
              </w:rPr>
              <w:t>While the commission approved the slightly higher revenue requirement proposed by the staff, the company will implement rates that are designed to reflect the lower initially proposed amount, in keeping with typical commission practice. The related under collection will be addressed as part of the true-up in the next SAVE rider adjustment proceeding.</w:t>
            </w:r>
          </w:p>
          <w:p w:rsidR="00242B67" w:rsidRPr="00B51D1F" w:rsidRDefault="00242B67" w:rsidP="00242B67">
            <w:pPr>
              <w:tabs>
                <w:tab w:val="left" w:pos="240"/>
                <w:tab w:val="center" w:pos="4839"/>
              </w:tabs>
              <w:rPr>
                <w:rFonts w:ascii="Arial" w:hAnsi="Arial" w:cs="Arial"/>
              </w:rPr>
            </w:pPr>
          </w:p>
        </w:tc>
      </w:tr>
      <w:tr w:rsidR="002A162A" w:rsidRPr="000602A6" w:rsidTr="00975117">
        <w:trPr>
          <w:trHeight w:val="279"/>
        </w:trPr>
        <w:tc>
          <w:tcPr>
            <w:tcW w:w="9895" w:type="dxa"/>
            <w:gridSpan w:val="2"/>
            <w:shd w:val="clear" w:color="auto" w:fill="1F4E79" w:themeFill="accent1" w:themeFillShade="80"/>
          </w:tcPr>
          <w:p w:rsidR="002A162A" w:rsidRPr="000602A6" w:rsidRDefault="002A162A" w:rsidP="00975117">
            <w:pPr>
              <w:jc w:val="center"/>
              <w:rPr>
                <w:rFonts w:ascii="Arial" w:hAnsi="Arial" w:cs="Arial"/>
                <w:b/>
                <w:color w:val="FFFFFF" w:themeColor="background1"/>
              </w:rPr>
            </w:pPr>
            <w:r>
              <w:rPr>
                <w:rFonts w:ascii="Arial" w:hAnsi="Arial" w:cs="Arial"/>
                <w:b/>
                <w:color w:val="FFFFFF" w:themeColor="background1"/>
              </w:rPr>
              <w:lastRenderedPageBreak/>
              <w:t>September 4, 2019</w:t>
            </w:r>
          </w:p>
        </w:tc>
      </w:tr>
      <w:tr w:rsidR="002A162A" w:rsidRPr="000602A6"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2A162A" w:rsidRPr="000602A6" w:rsidRDefault="002A162A" w:rsidP="00975117">
            <w:pPr>
              <w:rPr>
                <w:rFonts w:ascii="Arial" w:hAnsi="Arial" w:cs="Arial"/>
              </w:rPr>
            </w:pPr>
            <w:r>
              <w:rPr>
                <w:rFonts w:ascii="Arial" w:hAnsi="Arial" w:cs="Arial"/>
              </w:rPr>
              <w:t>Northern States Power Co – WI</w:t>
            </w:r>
          </w:p>
        </w:tc>
      </w:tr>
      <w:tr w:rsidR="002A162A" w:rsidRPr="00B51D1F"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rsidR="002A162A" w:rsidRPr="00B51D1F" w:rsidRDefault="002A162A" w:rsidP="00975117">
            <w:pPr>
              <w:rPr>
                <w:rFonts w:ascii="Arial" w:hAnsi="Arial" w:cs="Arial"/>
              </w:rPr>
            </w:pPr>
            <w:r>
              <w:rPr>
                <w:rFonts w:ascii="Arial" w:hAnsi="Arial" w:cs="Arial"/>
              </w:rPr>
              <w:t>Wisconsin</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2A162A" w:rsidRPr="00B51D1F" w:rsidRDefault="006D1D2A" w:rsidP="00975117">
            <w:pPr>
              <w:rPr>
                <w:rFonts w:ascii="Arial" w:hAnsi="Arial" w:cs="Arial"/>
                <w:color w:val="0000FF"/>
                <w:u w:val="single"/>
              </w:rPr>
            </w:pPr>
            <w:hyperlink r:id="rId15" w:history="1">
              <w:r w:rsidR="00EC5920" w:rsidRPr="006D1D2A">
                <w:rPr>
                  <w:rStyle w:val="Hyperlink"/>
                  <w:rFonts w:ascii="Arial" w:hAnsi="Arial" w:cs="Arial"/>
                </w:rPr>
                <w:t>Docket 4220-UR-124</w:t>
              </w:r>
            </w:hyperlink>
          </w:p>
        </w:tc>
      </w:tr>
      <w:tr w:rsidR="002A162A" w:rsidRPr="00416BC2"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2A162A" w:rsidRPr="00416BC2" w:rsidRDefault="006D1D2A" w:rsidP="00975117">
            <w:pPr>
              <w:rPr>
                <w:rFonts w:ascii="Arial" w:hAnsi="Arial" w:cs="Arial"/>
              </w:rPr>
            </w:pPr>
            <w:r>
              <w:rPr>
                <w:rFonts w:ascii="Arial" w:hAnsi="Arial" w:cs="Arial"/>
              </w:rPr>
              <w:t>$</w:t>
            </w:r>
            <w:r w:rsidRPr="006D1D2A">
              <w:rPr>
                <w:rFonts w:ascii="Arial" w:hAnsi="Arial" w:cs="Arial"/>
              </w:rPr>
              <w:t>1,079,829</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2A162A" w:rsidRPr="00B51D1F" w:rsidRDefault="006D1D2A" w:rsidP="00975117">
            <w:pPr>
              <w:rPr>
                <w:rFonts w:ascii="Arial" w:hAnsi="Arial" w:cs="Arial"/>
              </w:rPr>
            </w:pPr>
            <w:r>
              <w:rPr>
                <w:rFonts w:ascii="Arial" w:hAnsi="Arial" w:cs="Arial"/>
              </w:rPr>
              <w:t>10%</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7650" w:type="dxa"/>
          </w:tcPr>
          <w:p w:rsidR="002A162A" w:rsidRPr="00B51D1F" w:rsidRDefault="006D1D2A" w:rsidP="00975117">
            <w:pPr>
              <w:rPr>
                <w:rFonts w:ascii="Arial" w:hAnsi="Arial" w:cs="Arial"/>
              </w:rPr>
            </w:pPr>
            <w:r>
              <w:rPr>
                <w:rFonts w:ascii="Arial" w:hAnsi="Arial" w:cs="Arial"/>
              </w:rPr>
              <w:t xml:space="preserve">Walmart, </w:t>
            </w:r>
            <w:r w:rsidRPr="006D1D2A">
              <w:rPr>
                <w:rFonts w:ascii="Arial" w:hAnsi="Arial" w:cs="Arial"/>
              </w:rPr>
              <w:t>Wisconsin Industrial Energy Group</w:t>
            </w:r>
            <w:r>
              <w:rPr>
                <w:rFonts w:ascii="Arial" w:hAnsi="Arial" w:cs="Arial"/>
              </w:rPr>
              <w:t xml:space="preserve">, </w:t>
            </w:r>
            <w:r w:rsidRPr="006D1D2A">
              <w:rPr>
                <w:rFonts w:ascii="Arial" w:hAnsi="Arial" w:cs="Arial"/>
              </w:rPr>
              <w:t>Citizens Utility Board</w:t>
            </w:r>
            <w:r>
              <w:rPr>
                <w:rFonts w:ascii="Arial" w:hAnsi="Arial" w:cs="Arial"/>
              </w:rPr>
              <w:t xml:space="preserve">, </w:t>
            </w:r>
            <w:r w:rsidRPr="006D1D2A">
              <w:rPr>
                <w:rFonts w:ascii="Arial" w:hAnsi="Arial" w:cs="Arial"/>
              </w:rPr>
              <w:t>RENEW Wisconsin</w:t>
            </w:r>
            <w:r>
              <w:rPr>
                <w:rFonts w:ascii="Arial" w:hAnsi="Arial" w:cs="Arial"/>
              </w:rPr>
              <w:t>, and Wisconsin Paper Council</w:t>
            </w:r>
          </w:p>
        </w:tc>
      </w:tr>
      <w:tr w:rsidR="002A162A" w:rsidRPr="00B51D1F" w:rsidTr="00975117">
        <w:trPr>
          <w:trHeight w:val="263"/>
        </w:trPr>
        <w:tc>
          <w:tcPr>
            <w:tcW w:w="9895" w:type="dxa"/>
            <w:gridSpan w:val="2"/>
            <w:shd w:val="clear" w:color="auto" w:fill="1F4E79" w:themeFill="accent1" w:themeFillShade="80"/>
          </w:tcPr>
          <w:p w:rsidR="002A162A" w:rsidRPr="00B51D1F" w:rsidRDefault="002A162A" w:rsidP="0097511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2A162A" w:rsidRPr="00B51D1F" w:rsidTr="00975117">
        <w:trPr>
          <w:trHeight w:val="263"/>
        </w:trPr>
        <w:tc>
          <w:tcPr>
            <w:tcW w:w="9895" w:type="dxa"/>
            <w:gridSpan w:val="2"/>
            <w:shd w:val="clear" w:color="auto" w:fill="FFFFFF" w:themeFill="background1"/>
          </w:tcPr>
          <w:p w:rsidR="002A162A" w:rsidRDefault="006D1D2A" w:rsidP="00EC5920">
            <w:pPr>
              <w:tabs>
                <w:tab w:val="left" w:pos="240"/>
                <w:tab w:val="center" w:pos="4839"/>
              </w:tabs>
              <w:rPr>
                <w:rFonts w:ascii="Arial" w:hAnsi="Arial" w:cs="Arial"/>
              </w:rPr>
            </w:pPr>
            <w:r w:rsidRPr="006D1D2A">
              <w:rPr>
                <w:rFonts w:ascii="Arial" w:hAnsi="Arial" w:cs="Arial"/>
              </w:rPr>
              <w:t>The Public Service Commission of Wisconsin issued an interim order on Sept. 4 approving a settlement with Northern States Power Co. - Wisconsin and intervenors that authorizes a modest natural gas rate increase</w:t>
            </w:r>
            <w:r>
              <w:rPr>
                <w:rFonts w:ascii="Arial" w:hAnsi="Arial" w:cs="Arial"/>
              </w:rPr>
              <w:t xml:space="preserve"> of $1.1 million.</w:t>
            </w:r>
          </w:p>
          <w:p w:rsidR="006D1D2A" w:rsidRDefault="006D1D2A" w:rsidP="00EC5920">
            <w:pPr>
              <w:tabs>
                <w:tab w:val="left" w:pos="240"/>
                <w:tab w:val="center" w:pos="4839"/>
              </w:tabs>
              <w:rPr>
                <w:rFonts w:ascii="Arial" w:hAnsi="Arial" w:cs="Arial"/>
              </w:rPr>
            </w:pPr>
          </w:p>
          <w:p w:rsidR="006D1D2A" w:rsidRDefault="006D1D2A" w:rsidP="00EC5920">
            <w:pPr>
              <w:tabs>
                <w:tab w:val="left" w:pos="240"/>
                <w:tab w:val="center" w:pos="4839"/>
              </w:tabs>
              <w:rPr>
                <w:rFonts w:ascii="Arial" w:hAnsi="Arial" w:cs="Arial"/>
              </w:rPr>
            </w:pPr>
            <w:r w:rsidRPr="006D1D2A">
              <w:rPr>
                <w:rFonts w:ascii="Arial" w:hAnsi="Arial" w:cs="Arial"/>
              </w:rPr>
              <w:t xml:space="preserve">The rate change </w:t>
            </w:r>
            <w:r>
              <w:rPr>
                <w:rFonts w:ascii="Arial" w:hAnsi="Arial" w:cs="Arial"/>
              </w:rPr>
              <w:t>is</w:t>
            </w:r>
            <w:r w:rsidRPr="006D1D2A">
              <w:rPr>
                <w:rFonts w:ascii="Arial" w:hAnsi="Arial" w:cs="Arial"/>
              </w:rPr>
              <w:t xml:space="preserve"> premised upon a 10% return on equity (52.5% of capital) and </w:t>
            </w:r>
            <w:r>
              <w:rPr>
                <w:rFonts w:ascii="Arial" w:hAnsi="Arial" w:cs="Arial"/>
              </w:rPr>
              <w:t xml:space="preserve">a </w:t>
            </w:r>
            <w:r w:rsidRPr="006D1D2A">
              <w:rPr>
                <w:rFonts w:ascii="Arial" w:hAnsi="Arial" w:cs="Arial"/>
              </w:rPr>
              <w:t>gas rate base valued at $160.9 million for a 2020 test year.</w:t>
            </w:r>
          </w:p>
          <w:p w:rsidR="006D1D2A" w:rsidRDefault="006D1D2A" w:rsidP="00EC5920">
            <w:pPr>
              <w:tabs>
                <w:tab w:val="left" w:pos="240"/>
                <w:tab w:val="center" w:pos="4839"/>
              </w:tabs>
              <w:rPr>
                <w:rFonts w:ascii="Arial" w:hAnsi="Arial" w:cs="Arial"/>
              </w:rPr>
            </w:pPr>
          </w:p>
          <w:p w:rsidR="006D1D2A" w:rsidRDefault="006D1D2A" w:rsidP="00EC5920">
            <w:pPr>
              <w:tabs>
                <w:tab w:val="left" w:pos="240"/>
                <w:tab w:val="center" w:pos="4839"/>
              </w:tabs>
              <w:rPr>
                <w:rFonts w:ascii="Arial" w:hAnsi="Arial" w:cs="Arial"/>
              </w:rPr>
            </w:pPr>
            <w:r w:rsidRPr="006D1D2A">
              <w:rPr>
                <w:rFonts w:ascii="Arial" w:hAnsi="Arial" w:cs="Arial"/>
              </w:rPr>
              <w:t xml:space="preserve">The approved settlement agreement also includes </w:t>
            </w:r>
            <w:proofErr w:type="gramStart"/>
            <w:r w:rsidRPr="006D1D2A">
              <w:rPr>
                <w:rFonts w:ascii="Arial" w:hAnsi="Arial" w:cs="Arial"/>
              </w:rPr>
              <w:t>an earnings</w:t>
            </w:r>
            <w:proofErr w:type="gramEnd"/>
            <w:r w:rsidRPr="006D1D2A">
              <w:rPr>
                <w:rFonts w:ascii="Arial" w:hAnsi="Arial" w:cs="Arial"/>
              </w:rPr>
              <w:t xml:space="preserve"> sharing mechanism for 2020 and 2021, under which NSP-W retains all earnings if its return on equity, or ROE, is less than or equal to 10.25%. NSP-W will return to customers an amount equal to 50% of earnings between 10.25% and 10.75% ROE. Finally, NSP-W will return to customers 100% of earnings greater than 10.75% ROE.</w:t>
            </w:r>
          </w:p>
          <w:p w:rsidR="006D1D2A" w:rsidRPr="00B51D1F" w:rsidRDefault="006D1D2A" w:rsidP="00EC5920">
            <w:pPr>
              <w:tabs>
                <w:tab w:val="left" w:pos="240"/>
                <w:tab w:val="center" w:pos="4839"/>
              </w:tabs>
              <w:rPr>
                <w:rFonts w:ascii="Arial" w:hAnsi="Arial" w:cs="Arial"/>
              </w:rPr>
            </w:pPr>
          </w:p>
        </w:tc>
      </w:tr>
      <w:tr w:rsidR="002A162A" w:rsidRPr="000602A6" w:rsidTr="00975117">
        <w:trPr>
          <w:trHeight w:val="279"/>
        </w:trPr>
        <w:tc>
          <w:tcPr>
            <w:tcW w:w="9895" w:type="dxa"/>
            <w:gridSpan w:val="2"/>
            <w:shd w:val="clear" w:color="auto" w:fill="1F4E79" w:themeFill="accent1" w:themeFillShade="80"/>
          </w:tcPr>
          <w:p w:rsidR="002A162A" w:rsidRPr="000602A6" w:rsidRDefault="002A162A" w:rsidP="00975117">
            <w:pPr>
              <w:jc w:val="center"/>
              <w:rPr>
                <w:rFonts w:ascii="Arial" w:hAnsi="Arial" w:cs="Arial"/>
                <w:b/>
                <w:color w:val="FFFFFF" w:themeColor="background1"/>
              </w:rPr>
            </w:pPr>
            <w:r>
              <w:rPr>
                <w:rFonts w:ascii="Arial" w:hAnsi="Arial" w:cs="Arial"/>
                <w:b/>
                <w:color w:val="FFFFFF" w:themeColor="background1"/>
              </w:rPr>
              <w:t>September 12, 2019</w:t>
            </w:r>
          </w:p>
        </w:tc>
      </w:tr>
      <w:tr w:rsidR="002A162A" w:rsidRPr="000602A6"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2A162A" w:rsidRPr="000602A6" w:rsidRDefault="002A162A" w:rsidP="00975117">
            <w:pPr>
              <w:rPr>
                <w:rFonts w:ascii="Arial" w:hAnsi="Arial" w:cs="Arial"/>
              </w:rPr>
            </w:pPr>
            <w:r>
              <w:rPr>
                <w:rFonts w:ascii="Arial" w:hAnsi="Arial" w:cs="Arial"/>
              </w:rPr>
              <w:t>Pacific Gas &amp; Electric Co.</w:t>
            </w:r>
          </w:p>
        </w:tc>
      </w:tr>
      <w:tr w:rsidR="002A162A" w:rsidRPr="00B51D1F"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rsidR="002A162A" w:rsidRPr="00B51D1F" w:rsidRDefault="00975117" w:rsidP="00975117">
            <w:pPr>
              <w:rPr>
                <w:rFonts w:ascii="Arial" w:hAnsi="Arial" w:cs="Arial"/>
              </w:rPr>
            </w:pPr>
            <w:r>
              <w:rPr>
                <w:rFonts w:ascii="Arial" w:hAnsi="Arial" w:cs="Arial"/>
              </w:rPr>
              <w:t>California</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2A162A" w:rsidRPr="00B51D1F" w:rsidRDefault="00A43A4E" w:rsidP="00975117">
            <w:pPr>
              <w:rPr>
                <w:rFonts w:ascii="Arial" w:hAnsi="Arial" w:cs="Arial"/>
                <w:color w:val="0000FF"/>
                <w:u w:val="single"/>
              </w:rPr>
            </w:pPr>
            <w:hyperlink r:id="rId16" w:history="1">
              <w:r w:rsidRPr="00A43A4E">
                <w:rPr>
                  <w:rStyle w:val="Hyperlink"/>
                  <w:rFonts w:ascii="Arial" w:hAnsi="Arial" w:cs="Arial"/>
                </w:rPr>
                <w:t>Application 17-11-009</w:t>
              </w:r>
            </w:hyperlink>
          </w:p>
        </w:tc>
      </w:tr>
      <w:tr w:rsidR="002A162A" w:rsidRPr="00416BC2"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2A162A" w:rsidRPr="00416BC2" w:rsidRDefault="00A43A4E" w:rsidP="00975117">
            <w:pPr>
              <w:rPr>
                <w:rFonts w:ascii="Arial" w:hAnsi="Arial" w:cs="Arial"/>
              </w:rPr>
            </w:pPr>
            <w:r>
              <w:rPr>
                <w:rFonts w:ascii="Arial" w:hAnsi="Arial" w:cs="Arial"/>
              </w:rPr>
              <w:t>$31,299,000</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2A162A" w:rsidRPr="00B51D1F" w:rsidRDefault="002A162A" w:rsidP="00975117">
            <w:pPr>
              <w:rPr>
                <w:rFonts w:ascii="Arial" w:hAnsi="Arial" w:cs="Arial"/>
              </w:rPr>
            </w:pP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7650" w:type="dxa"/>
          </w:tcPr>
          <w:p w:rsidR="002A162A" w:rsidRPr="00B51D1F" w:rsidRDefault="00A43A4E" w:rsidP="00B24014">
            <w:pPr>
              <w:rPr>
                <w:rFonts w:ascii="Arial" w:hAnsi="Arial" w:cs="Arial"/>
              </w:rPr>
            </w:pPr>
            <w:r>
              <w:rPr>
                <w:rFonts w:ascii="Arial" w:hAnsi="Arial" w:cs="Arial"/>
              </w:rPr>
              <w:t xml:space="preserve">Calpine Corporation, Northern California Generation Coalition, </w:t>
            </w:r>
            <w:r w:rsidR="00B24014">
              <w:rPr>
                <w:rFonts w:ascii="Arial" w:hAnsi="Arial" w:cs="Arial"/>
              </w:rPr>
              <w:t xml:space="preserve">Indicated Shippers, </w:t>
            </w:r>
            <w:r w:rsidR="00B24014" w:rsidRPr="00B24014">
              <w:rPr>
                <w:rFonts w:ascii="Arial" w:hAnsi="Arial" w:cs="Arial"/>
              </w:rPr>
              <w:t>Public Advocates Office at the</w:t>
            </w:r>
            <w:r w:rsidR="00B24014">
              <w:rPr>
                <w:rFonts w:ascii="Arial" w:hAnsi="Arial" w:cs="Arial"/>
              </w:rPr>
              <w:t xml:space="preserve"> </w:t>
            </w:r>
            <w:r w:rsidR="00B24014" w:rsidRPr="00B24014">
              <w:rPr>
                <w:rFonts w:ascii="Arial" w:hAnsi="Arial" w:cs="Arial"/>
              </w:rPr>
              <w:t>California Public Utilities Commission</w:t>
            </w:r>
            <w:r w:rsidR="00B24014">
              <w:rPr>
                <w:rFonts w:ascii="Arial" w:hAnsi="Arial" w:cs="Arial"/>
              </w:rPr>
              <w:t xml:space="preserve">, </w:t>
            </w:r>
            <w:r w:rsidR="00B24014" w:rsidRPr="00B24014">
              <w:rPr>
                <w:rFonts w:ascii="Arial" w:hAnsi="Arial" w:cs="Arial"/>
              </w:rPr>
              <w:t>The Utility Reform Network</w:t>
            </w:r>
            <w:r w:rsidR="00B24014">
              <w:rPr>
                <w:rFonts w:ascii="Arial" w:hAnsi="Arial" w:cs="Arial"/>
              </w:rPr>
              <w:t xml:space="preserve">, </w:t>
            </w:r>
            <w:r w:rsidR="00B24014" w:rsidRPr="00B24014">
              <w:rPr>
                <w:rFonts w:ascii="Arial" w:hAnsi="Arial" w:cs="Arial"/>
              </w:rPr>
              <w:t xml:space="preserve">Sacramento Municipal Utility </w:t>
            </w:r>
            <w:r w:rsidR="00B24014" w:rsidRPr="00B24014">
              <w:rPr>
                <w:rFonts w:ascii="Arial" w:hAnsi="Arial" w:cs="Arial"/>
              </w:rPr>
              <w:lastRenderedPageBreak/>
              <w:t>District</w:t>
            </w:r>
            <w:r w:rsidR="00B24014">
              <w:rPr>
                <w:rFonts w:ascii="Arial" w:hAnsi="Arial" w:cs="Arial"/>
              </w:rPr>
              <w:t xml:space="preserve">, </w:t>
            </w:r>
            <w:r w:rsidR="00A666ED" w:rsidRPr="00A666ED">
              <w:rPr>
                <w:rFonts w:ascii="Arial" w:hAnsi="Arial" w:cs="Arial"/>
              </w:rPr>
              <w:t>ABAG POWER</w:t>
            </w:r>
            <w:r w:rsidR="00A666ED">
              <w:rPr>
                <w:rFonts w:ascii="Arial" w:hAnsi="Arial" w:cs="Arial"/>
              </w:rPr>
              <w:t xml:space="preserve">, </w:t>
            </w:r>
            <w:r w:rsidR="00A666ED" w:rsidRPr="00A666ED">
              <w:rPr>
                <w:rFonts w:ascii="Arial" w:hAnsi="Arial" w:cs="Arial"/>
              </w:rPr>
              <w:t>California Manufacturers &amp; Technology Association</w:t>
            </w:r>
            <w:r w:rsidR="00A666ED">
              <w:rPr>
                <w:rFonts w:ascii="Arial" w:hAnsi="Arial" w:cs="Arial"/>
              </w:rPr>
              <w:t xml:space="preserve">, </w:t>
            </w:r>
            <w:r w:rsidR="00A666ED" w:rsidRPr="00A666ED">
              <w:rPr>
                <w:rFonts w:ascii="Arial" w:hAnsi="Arial" w:cs="Arial"/>
              </w:rPr>
              <w:t>Coalition of California Utility Employees</w:t>
            </w:r>
            <w:r w:rsidR="00A666ED">
              <w:rPr>
                <w:rFonts w:ascii="Arial" w:hAnsi="Arial" w:cs="Arial"/>
              </w:rPr>
              <w:t xml:space="preserve">, and </w:t>
            </w:r>
            <w:r w:rsidR="00A666ED" w:rsidRPr="00A666ED">
              <w:rPr>
                <w:rFonts w:ascii="Arial" w:hAnsi="Arial" w:cs="Arial"/>
              </w:rPr>
              <w:t>Commercial Energy of California</w:t>
            </w:r>
            <w:r w:rsidR="00A666ED">
              <w:rPr>
                <w:rFonts w:ascii="Arial" w:hAnsi="Arial" w:cs="Arial"/>
              </w:rPr>
              <w:t xml:space="preserve">, </w:t>
            </w:r>
          </w:p>
        </w:tc>
      </w:tr>
      <w:tr w:rsidR="002A162A" w:rsidRPr="00B51D1F" w:rsidTr="00975117">
        <w:trPr>
          <w:trHeight w:val="263"/>
        </w:trPr>
        <w:tc>
          <w:tcPr>
            <w:tcW w:w="9895" w:type="dxa"/>
            <w:gridSpan w:val="2"/>
            <w:shd w:val="clear" w:color="auto" w:fill="1F4E79" w:themeFill="accent1" w:themeFillShade="80"/>
          </w:tcPr>
          <w:p w:rsidR="002A162A" w:rsidRPr="00B51D1F" w:rsidRDefault="002A162A" w:rsidP="00975117">
            <w:pPr>
              <w:tabs>
                <w:tab w:val="left" w:pos="240"/>
                <w:tab w:val="center" w:pos="4839"/>
              </w:tabs>
              <w:rPr>
                <w:rFonts w:ascii="Arial" w:hAnsi="Arial" w:cs="Arial"/>
                <w:b/>
              </w:rPr>
            </w:pPr>
            <w:r w:rsidRPr="00B51D1F">
              <w:rPr>
                <w:rFonts w:ascii="Arial" w:hAnsi="Arial" w:cs="Arial"/>
              </w:rPr>
              <w:lastRenderedPageBreak/>
              <w:tab/>
            </w:r>
            <w:r w:rsidRPr="00B51D1F">
              <w:rPr>
                <w:rFonts w:ascii="Arial" w:hAnsi="Arial" w:cs="Arial"/>
              </w:rPr>
              <w:tab/>
            </w:r>
            <w:r w:rsidRPr="00B51D1F">
              <w:rPr>
                <w:rFonts w:ascii="Arial" w:hAnsi="Arial" w:cs="Arial"/>
                <w:b/>
                <w:color w:val="FFFFFF" w:themeColor="background1"/>
              </w:rPr>
              <w:t>Case Summary</w:t>
            </w:r>
          </w:p>
        </w:tc>
      </w:tr>
      <w:tr w:rsidR="002A162A" w:rsidRPr="00B51D1F" w:rsidTr="00975117">
        <w:trPr>
          <w:trHeight w:val="263"/>
        </w:trPr>
        <w:tc>
          <w:tcPr>
            <w:tcW w:w="9895" w:type="dxa"/>
            <w:gridSpan w:val="2"/>
            <w:shd w:val="clear" w:color="auto" w:fill="FFFFFF" w:themeFill="background1"/>
          </w:tcPr>
          <w:p w:rsidR="0001500C" w:rsidRPr="0001500C" w:rsidRDefault="0001500C" w:rsidP="0001500C">
            <w:pPr>
              <w:tabs>
                <w:tab w:val="left" w:pos="240"/>
                <w:tab w:val="center" w:pos="4839"/>
              </w:tabs>
              <w:rPr>
                <w:rFonts w:ascii="Arial" w:hAnsi="Arial" w:cs="Arial"/>
              </w:rPr>
            </w:pPr>
            <w:r w:rsidRPr="0001500C">
              <w:rPr>
                <w:rFonts w:ascii="Arial" w:hAnsi="Arial" w:cs="Arial"/>
              </w:rPr>
              <w:t>The California Public Utilities Commission on Sept. 12 voted to authorize Pacific Gas and Electric Co.</w:t>
            </w:r>
            <w:r>
              <w:rPr>
                <w:rFonts w:ascii="Arial" w:hAnsi="Arial" w:cs="Arial"/>
              </w:rPr>
              <w:t xml:space="preserve"> </w:t>
            </w:r>
            <w:r w:rsidRPr="0001500C">
              <w:rPr>
                <w:rFonts w:ascii="Arial" w:hAnsi="Arial" w:cs="Arial"/>
              </w:rPr>
              <w:t>a $31.3 million, or 2.4%, increase in gas transmission and storage</w:t>
            </w:r>
            <w:r>
              <w:rPr>
                <w:rFonts w:ascii="Arial" w:hAnsi="Arial" w:cs="Arial"/>
              </w:rPr>
              <w:t xml:space="preserve"> </w:t>
            </w:r>
            <w:r w:rsidRPr="0001500C">
              <w:rPr>
                <w:rFonts w:ascii="Arial" w:hAnsi="Arial" w:cs="Arial"/>
              </w:rPr>
              <w:t>rates premised upon a $4.46 billion penalty-adjusted average rate base and a calendar 2019 test year.</w:t>
            </w:r>
          </w:p>
          <w:p w:rsidR="0001500C" w:rsidRPr="0001500C" w:rsidRDefault="0001500C" w:rsidP="0001500C">
            <w:pPr>
              <w:tabs>
                <w:tab w:val="left" w:pos="240"/>
                <w:tab w:val="center" w:pos="4839"/>
              </w:tabs>
              <w:rPr>
                <w:rFonts w:ascii="Arial" w:hAnsi="Arial" w:cs="Arial"/>
              </w:rPr>
            </w:pPr>
          </w:p>
          <w:p w:rsidR="002A162A" w:rsidRDefault="0001500C" w:rsidP="0001500C">
            <w:pPr>
              <w:tabs>
                <w:tab w:val="left" w:pos="240"/>
                <w:tab w:val="center" w:pos="4839"/>
              </w:tabs>
              <w:rPr>
                <w:rFonts w:ascii="Arial" w:hAnsi="Arial" w:cs="Arial"/>
              </w:rPr>
            </w:pPr>
            <w:r w:rsidRPr="0001500C">
              <w:rPr>
                <w:rFonts w:ascii="Arial" w:hAnsi="Arial" w:cs="Arial"/>
              </w:rPr>
              <w:t xml:space="preserve">The PUC also authorized incremental "attrition" rate increases of $99.7 million, $84.3 million and $64.3 million in 2020, 2021 and 2022, respectively. In this case, the commission took the unusual step of granting a fourth attrition year. The PUC has opened a rulemaking into considering a fourth attrition year for all investor-owned utilities. Rate of return was not an issue in this proceeding, as it was determined in a separate automatic adjustment mechanism incorporating a 10.25% return on equity (52% of capital) and </w:t>
            </w:r>
            <w:r w:rsidR="005D587E">
              <w:rPr>
                <w:rFonts w:ascii="Arial" w:hAnsi="Arial" w:cs="Arial"/>
              </w:rPr>
              <w:t xml:space="preserve">a </w:t>
            </w:r>
            <w:r w:rsidRPr="0001500C">
              <w:rPr>
                <w:rFonts w:ascii="Arial" w:hAnsi="Arial" w:cs="Arial"/>
              </w:rPr>
              <w:t>7.69% overall return authorized</w:t>
            </w:r>
            <w:r w:rsidR="005D587E">
              <w:rPr>
                <w:rFonts w:ascii="Arial" w:hAnsi="Arial" w:cs="Arial"/>
              </w:rPr>
              <w:t xml:space="preserve"> for</w:t>
            </w:r>
            <w:r w:rsidRPr="0001500C">
              <w:rPr>
                <w:rFonts w:ascii="Arial" w:hAnsi="Arial" w:cs="Arial"/>
              </w:rPr>
              <w:t xml:space="preserve"> the company for 2018.</w:t>
            </w:r>
          </w:p>
          <w:p w:rsidR="0001500C" w:rsidRDefault="0001500C" w:rsidP="0001500C">
            <w:pPr>
              <w:tabs>
                <w:tab w:val="left" w:pos="240"/>
                <w:tab w:val="center" w:pos="4839"/>
              </w:tabs>
              <w:rPr>
                <w:rFonts w:ascii="Arial" w:hAnsi="Arial" w:cs="Arial"/>
              </w:rPr>
            </w:pPr>
          </w:p>
          <w:p w:rsidR="0001500C" w:rsidRDefault="0001500C" w:rsidP="0001500C">
            <w:pPr>
              <w:tabs>
                <w:tab w:val="left" w:pos="240"/>
                <w:tab w:val="center" w:pos="4839"/>
              </w:tabs>
              <w:rPr>
                <w:rFonts w:ascii="Arial" w:hAnsi="Arial" w:cs="Arial"/>
              </w:rPr>
            </w:pPr>
            <w:r w:rsidRPr="0001500C">
              <w:rPr>
                <w:rFonts w:ascii="Arial" w:hAnsi="Arial" w:cs="Arial"/>
              </w:rPr>
              <w:t>The PUC authorized a test-year 2019 rate base of $4.98 billion. However, the commission reduced the rate base to $4.46 billion to account for a safety penalty adjustment associated with the Sept. 9, 2010, gas transmission pipeline explosion and subsequent fire in San Bruno, Calif. The commission authorized penalty-adjusted post-test year rate bases of $4.98 billion, $5.37 billion and $5.71 billion for 2020, 2021 and 2022, respectively.</w:t>
            </w:r>
          </w:p>
          <w:p w:rsidR="0001500C" w:rsidRDefault="0001500C" w:rsidP="0001500C">
            <w:pPr>
              <w:tabs>
                <w:tab w:val="left" w:pos="240"/>
                <w:tab w:val="center" w:pos="4839"/>
              </w:tabs>
              <w:rPr>
                <w:rFonts w:ascii="Arial" w:hAnsi="Arial" w:cs="Arial"/>
              </w:rPr>
            </w:pPr>
          </w:p>
          <w:p w:rsidR="0001500C" w:rsidRDefault="0001500C" w:rsidP="0001500C">
            <w:pPr>
              <w:tabs>
                <w:tab w:val="left" w:pos="240"/>
                <w:tab w:val="center" w:pos="4839"/>
              </w:tabs>
              <w:rPr>
                <w:rFonts w:ascii="Arial" w:hAnsi="Arial" w:cs="Arial"/>
              </w:rPr>
            </w:pPr>
            <w:r w:rsidRPr="0001500C">
              <w:rPr>
                <w:rFonts w:ascii="Arial" w:hAnsi="Arial" w:cs="Arial"/>
              </w:rPr>
              <w:t xml:space="preserve">A significant issue in the latest rate case involved PG&amp;E's gas storage fields. The PUC approved PG&amp;E's request to decommission or sell its Los </w:t>
            </w:r>
            <w:proofErr w:type="spellStart"/>
            <w:r w:rsidRPr="0001500C">
              <w:rPr>
                <w:rFonts w:ascii="Arial" w:hAnsi="Arial" w:cs="Arial"/>
              </w:rPr>
              <w:t>Medanos</w:t>
            </w:r>
            <w:proofErr w:type="spellEnd"/>
            <w:r w:rsidRPr="0001500C">
              <w:rPr>
                <w:rFonts w:ascii="Arial" w:hAnsi="Arial" w:cs="Arial"/>
              </w:rPr>
              <w:t xml:space="preserve"> and Pleasant Creek gas storage fields, which represented a policy shift for the PUC to favor independent storage providers over incumbent utility ownership of storage fields. Under a settlement between PG&amp;E and intervenors and filed with the commission, PG&amp;E agreed to seek to sell the storage fields but, if a sale is not possible, to decommission them beginning no later than Jan. 2, 2022.</w:t>
            </w:r>
          </w:p>
          <w:p w:rsidR="0001500C" w:rsidRDefault="0001500C" w:rsidP="0001500C">
            <w:pPr>
              <w:tabs>
                <w:tab w:val="left" w:pos="240"/>
                <w:tab w:val="center" w:pos="4839"/>
              </w:tabs>
              <w:rPr>
                <w:rFonts w:ascii="Arial" w:hAnsi="Arial" w:cs="Arial"/>
              </w:rPr>
            </w:pPr>
          </w:p>
          <w:p w:rsidR="0001500C" w:rsidRPr="0001500C" w:rsidRDefault="0001500C" w:rsidP="0001500C">
            <w:pPr>
              <w:tabs>
                <w:tab w:val="left" w:pos="240"/>
                <w:tab w:val="center" w:pos="4839"/>
              </w:tabs>
              <w:rPr>
                <w:rFonts w:ascii="Arial" w:hAnsi="Arial" w:cs="Arial"/>
              </w:rPr>
            </w:pPr>
            <w:r w:rsidRPr="0001500C">
              <w:rPr>
                <w:rFonts w:ascii="Arial" w:hAnsi="Arial" w:cs="Arial"/>
              </w:rPr>
              <w:t>PG&amp;E also proposed a new two-way gas storage balancing account to address uncertainty surrounding other anticipated, but not definitive, DOGGR regulations and proposed a new memorandum account to track costs related to other anticipated new regulations.</w:t>
            </w:r>
          </w:p>
          <w:p w:rsidR="0001500C" w:rsidRPr="0001500C" w:rsidRDefault="0001500C" w:rsidP="0001500C">
            <w:pPr>
              <w:tabs>
                <w:tab w:val="left" w:pos="240"/>
                <w:tab w:val="center" w:pos="4839"/>
              </w:tabs>
              <w:rPr>
                <w:rFonts w:ascii="Arial" w:hAnsi="Arial" w:cs="Arial"/>
              </w:rPr>
            </w:pPr>
          </w:p>
          <w:p w:rsidR="0001500C" w:rsidRDefault="0001500C" w:rsidP="0001500C">
            <w:pPr>
              <w:tabs>
                <w:tab w:val="left" w:pos="240"/>
                <w:tab w:val="center" w:pos="4839"/>
              </w:tabs>
              <w:rPr>
                <w:rFonts w:ascii="Arial" w:hAnsi="Arial" w:cs="Arial"/>
              </w:rPr>
            </w:pPr>
            <w:r w:rsidRPr="0001500C">
              <w:rPr>
                <w:rFonts w:ascii="Arial" w:hAnsi="Arial" w:cs="Arial"/>
              </w:rPr>
              <w:t>The PUC found PG&amp;E's request for the new two-way gas storage balancing account reasonable and ordered the utility to provide an analysis of total recorded costs with the authorized amount for a PUC reasonableness review in its next rate case.</w:t>
            </w:r>
          </w:p>
          <w:p w:rsidR="0001500C" w:rsidRPr="00B51D1F" w:rsidRDefault="0001500C" w:rsidP="0001500C">
            <w:pPr>
              <w:tabs>
                <w:tab w:val="left" w:pos="240"/>
                <w:tab w:val="center" w:pos="4839"/>
              </w:tabs>
              <w:rPr>
                <w:rFonts w:ascii="Arial" w:hAnsi="Arial" w:cs="Arial"/>
              </w:rPr>
            </w:pPr>
          </w:p>
        </w:tc>
      </w:tr>
      <w:tr w:rsidR="002A162A" w:rsidRPr="000602A6" w:rsidTr="00975117">
        <w:trPr>
          <w:trHeight w:val="279"/>
        </w:trPr>
        <w:tc>
          <w:tcPr>
            <w:tcW w:w="9895" w:type="dxa"/>
            <w:gridSpan w:val="2"/>
            <w:shd w:val="clear" w:color="auto" w:fill="1F4E79" w:themeFill="accent1" w:themeFillShade="80"/>
          </w:tcPr>
          <w:p w:rsidR="002A162A" w:rsidRPr="000602A6" w:rsidRDefault="002A162A" w:rsidP="00975117">
            <w:pPr>
              <w:jc w:val="center"/>
              <w:rPr>
                <w:rFonts w:ascii="Arial" w:hAnsi="Arial" w:cs="Arial"/>
                <w:b/>
                <w:color w:val="FFFFFF" w:themeColor="background1"/>
              </w:rPr>
            </w:pPr>
            <w:r>
              <w:rPr>
                <w:rFonts w:ascii="Arial" w:hAnsi="Arial" w:cs="Arial"/>
                <w:b/>
                <w:color w:val="FFFFFF" w:themeColor="background1"/>
              </w:rPr>
              <w:t>September 19, 2019</w:t>
            </w:r>
          </w:p>
        </w:tc>
      </w:tr>
      <w:tr w:rsidR="002A162A" w:rsidRPr="000602A6"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2A162A" w:rsidRPr="000602A6" w:rsidRDefault="002A162A" w:rsidP="00975117">
            <w:pPr>
              <w:rPr>
                <w:rFonts w:ascii="Arial" w:hAnsi="Arial" w:cs="Arial"/>
              </w:rPr>
            </w:pPr>
            <w:r>
              <w:rPr>
                <w:rFonts w:ascii="Arial" w:hAnsi="Arial" w:cs="Arial"/>
              </w:rPr>
              <w:t>UGI Utilities Inc.</w:t>
            </w:r>
          </w:p>
        </w:tc>
      </w:tr>
      <w:tr w:rsidR="002A162A" w:rsidRPr="00B51D1F"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rsidR="002A162A" w:rsidRPr="00B51D1F" w:rsidRDefault="002A162A" w:rsidP="00975117">
            <w:pPr>
              <w:rPr>
                <w:rFonts w:ascii="Arial" w:hAnsi="Arial" w:cs="Arial"/>
              </w:rPr>
            </w:pPr>
            <w:r>
              <w:rPr>
                <w:rFonts w:ascii="Arial" w:hAnsi="Arial" w:cs="Arial"/>
              </w:rPr>
              <w:t>Pennsylvania</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2A162A" w:rsidRPr="00B51D1F" w:rsidRDefault="00242A08" w:rsidP="00975117">
            <w:pPr>
              <w:rPr>
                <w:rFonts w:ascii="Arial" w:hAnsi="Arial" w:cs="Arial"/>
                <w:color w:val="0000FF"/>
                <w:u w:val="single"/>
              </w:rPr>
            </w:pPr>
            <w:hyperlink r:id="rId17" w:history="1">
              <w:r w:rsidR="003D3D70" w:rsidRPr="00242A08">
                <w:rPr>
                  <w:rStyle w:val="Hyperlink"/>
                  <w:rFonts w:ascii="Arial" w:hAnsi="Arial" w:cs="Arial"/>
                </w:rPr>
                <w:t>Docket No. R-2018-3006814</w:t>
              </w:r>
            </w:hyperlink>
          </w:p>
        </w:tc>
      </w:tr>
      <w:tr w:rsidR="002A162A" w:rsidRPr="00416BC2"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2A162A" w:rsidRPr="00416BC2" w:rsidRDefault="00242A08" w:rsidP="00975117">
            <w:pPr>
              <w:rPr>
                <w:rFonts w:ascii="Arial" w:hAnsi="Arial" w:cs="Arial"/>
              </w:rPr>
            </w:pPr>
            <w:r>
              <w:rPr>
                <w:rFonts w:ascii="Arial" w:hAnsi="Arial" w:cs="Arial"/>
              </w:rPr>
              <w:t>$30,000,000</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2A162A" w:rsidRPr="00B51D1F" w:rsidRDefault="00242A08" w:rsidP="00975117">
            <w:pPr>
              <w:rPr>
                <w:rFonts w:ascii="Arial" w:hAnsi="Arial" w:cs="Arial"/>
              </w:rPr>
            </w:pPr>
            <w:r>
              <w:rPr>
                <w:rFonts w:ascii="Arial" w:hAnsi="Arial" w:cs="Arial"/>
              </w:rPr>
              <w:t>10%</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7650" w:type="dxa"/>
          </w:tcPr>
          <w:p w:rsidR="002A162A" w:rsidRPr="00B51D1F" w:rsidRDefault="00AF4BB1" w:rsidP="00AF4BB1">
            <w:pPr>
              <w:rPr>
                <w:rFonts w:ascii="Arial" w:hAnsi="Arial" w:cs="Arial"/>
              </w:rPr>
            </w:pPr>
            <w:r w:rsidRPr="00AF4BB1">
              <w:rPr>
                <w:rFonts w:ascii="Arial" w:hAnsi="Arial" w:cs="Arial"/>
              </w:rPr>
              <w:t>UGI Energy Services Inc., PUC Bureau of Investigation and</w:t>
            </w:r>
            <w:r>
              <w:rPr>
                <w:rFonts w:ascii="Arial" w:hAnsi="Arial" w:cs="Arial"/>
              </w:rPr>
              <w:t xml:space="preserve"> </w:t>
            </w:r>
            <w:r w:rsidRPr="00AF4BB1">
              <w:rPr>
                <w:rFonts w:ascii="Arial" w:hAnsi="Arial" w:cs="Arial"/>
              </w:rPr>
              <w:t xml:space="preserve">Enforcement, </w:t>
            </w:r>
            <w:r w:rsidR="00E93DDE">
              <w:rPr>
                <w:rFonts w:ascii="Arial" w:hAnsi="Arial" w:cs="Arial"/>
              </w:rPr>
              <w:t xml:space="preserve">PUC </w:t>
            </w:r>
            <w:r w:rsidRPr="00AF4BB1">
              <w:rPr>
                <w:rFonts w:ascii="Arial" w:hAnsi="Arial" w:cs="Arial"/>
              </w:rPr>
              <w:t xml:space="preserve">Office of Consumer Advocate, </w:t>
            </w:r>
            <w:r w:rsidR="00E93DDE">
              <w:rPr>
                <w:rFonts w:ascii="Arial" w:hAnsi="Arial" w:cs="Arial"/>
              </w:rPr>
              <w:t>PUC</w:t>
            </w:r>
            <w:r w:rsidRPr="00AF4BB1">
              <w:rPr>
                <w:rFonts w:ascii="Arial" w:hAnsi="Arial" w:cs="Arial"/>
              </w:rPr>
              <w:t xml:space="preserve"> Office of Small Business Advocate, the Coalition for Affordable</w:t>
            </w:r>
            <w:r>
              <w:rPr>
                <w:rFonts w:ascii="Arial" w:hAnsi="Arial" w:cs="Arial"/>
              </w:rPr>
              <w:t xml:space="preserve"> </w:t>
            </w:r>
            <w:r w:rsidRPr="00AF4BB1">
              <w:rPr>
                <w:rFonts w:ascii="Arial" w:hAnsi="Arial" w:cs="Arial"/>
              </w:rPr>
              <w:t xml:space="preserve">Utility Services and Energy Efficiency </w:t>
            </w:r>
            <w:r w:rsidRPr="00AF4BB1">
              <w:rPr>
                <w:rFonts w:ascii="Arial" w:hAnsi="Arial" w:cs="Arial"/>
              </w:rPr>
              <w:lastRenderedPageBreak/>
              <w:t>in Pennsylvania, the Commission for Economic Opportunity, the Natural Gas</w:t>
            </w:r>
            <w:r>
              <w:rPr>
                <w:rFonts w:ascii="Arial" w:hAnsi="Arial" w:cs="Arial"/>
              </w:rPr>
              <w:t xml:space="preserve"> </w:t>
            </w:r>
            <w:r w:rsidRPr="00AF4BB1">
              <w:rPr>
                <w:rFonts w:ascii="Arial" w:hAnsi="Arial" w:cs="Arial"/>
              </w:rPr>
              <w:t>Supplier Parties, the Retail Energy Supply Association</w:t>
            </w:r>
            <w:r>
              <w:rPr>
                <w:rFonts w:ascii="Arial" w:hAnsi="Arial" w:cs="Arial"/>
              </w:rPr>
              <w:t>,</w:t>
            </w:r>
            <w:r w:rsidRPr="00AF4BB1">
              <w:rPr>
                <w:rFonts w:ascii="Arial" w:hAnsi="Arial" w:cs="Arial"/>
              </w:rPr>
              <w:t xml:space="preserve"> Direct Energy</w:t>
            </w:r>
            <w:r>
              <w:rPr>
                <w:rFonts w:ascii="Arial" w:hAnsi="Arial" w:cs="Arial"/>
              </w:rPr>
              <w:t xml:space="preserve">, and </w:t>
            </w:r>
            <w:r w:rsidRPr="00AF4BB1">
              <w:rPr>
                <w:rFonts w:ascii="Arial" w:hAnsi="Arial" w:cs="Arial"/>
              </w:rPr>
              <w:t>the Laborers’ District Council of</w:t>
            </w:r>
            <w:r>
              <w:rPr>
                <w:rFonts w:ascii="Arial" w:hAnsi="Arial" w:cs="Arial"/>
              </w:rPr>
              <w:t xml:space="preserve"> </w:t>
            </w:r>
            <w:r w:rsidRPr="00AF4BB1">
              <w:rPr>
                <w:rFonts w:ascii="Arial" w:hAnsi="Arial" w:cs="Arial"/>
              </w:rPr>
              <w:t>Eastern Pennsylvania</w:t>
            </w:r>
          </w:p>
        </w:tc>
      </w:tr>
      <w:tr w:rsidR="002A162A" w:rsidRPr="00B51D1F" w:rsidTr="00975117">
        <w:trPr>
          <w:trHeight w:val="263"/>
        </w:trPr>
        <w:tc>
          <w:tcPr>
            <w:tcW w:w="9895" w:type="dxa"/>
            <w:gridSpan w:val="2"/>
            <w:shd w:val="clear" w:color="auto" w:fill="1F4E79" w:themeFill="accent1" w:themeFillShade="80"/>
          </w:tcPr>
          <w:p w:rsidR="002A162A" w:rsidRPr="00B51D1F" w:rsidRDefault="002A162A" w:rsidP="00975117">
            <w:pPr>
              <w:tabs>
                <w:tab w:val="left" w:pos="240"/>
                <w:tab w:val="center" w:pos="4839"/>
              </w:tabs>
              <w:rPr>
                <w:rFonts w:ascii="Arial" w:hAnsi="Arial" w:cs="Arial"/>
                <w:b/>
              </w:rPr>
            </w:pPr>
            <w:r w:rsidRPr="00B51D1F">
              <w:rPr>
                <w:rFonts w:ascii="Arial" w:hAnsi="Arial" w:cs="Arial"/>
              </w:rPr>
              <w:lastRenderedPageBreak/>
              <w:tab/>
            </w:r>
            <w:r w:rsidRPr="00B51D1F">
              <w:rPr>
                <w:rFonts w:ascii="Arial" w:hAnsi="Arial" w:cs="Arial"/>
              </w:rPr>
              <w:tab/>
            </w:r>
            <w:r w:rsidRPr="00B51D1F">
              <w:rPr>
                <w:rFonts w:ascii="Arial" w:hAnsi="Arial" w:cs="Arial"/>
                <w:b/>
                <w:color w:val="FFFFFF" w:themeColor="background1"/>
              </w:rPr>
              <w:t>Case Summary</w:t>
            </w:r>
          </w:p>
        </w:tc>
      </w:tr>
      <w:tr w:rsidR="002A162A" w:rsidRPr="00B51D1F" w:rsidTr="00975117">
        <w:trPr>
          <w:trHeight w:val="263"/>
        </w:trPr>
        <w:tc>
          <w:tcPr>
            <w:tcW w:w="9895" w:type="dxa"/>
            <w:gridSpan w:val="2"/>
            <w:shd w:val="clear" w:color="auto" w:fill="FFFFFF" w:themeFill="background1"/>
          </w:tcPr>
          <w:p w:rsidR="00AF4BB1" w:rsidRPr="00AF4BB1" w:rsidRDefault="00242A08" w:rsidP="00AF4BB1">
            <w:pPr>
              <w:tabs>
                <w:tab w:val="left" w:pos="240"/>
                <w:tab w:val="center" w:pos="4839"/>
              </w:tabs>
              <w:rPr>
                <w:rFonts w:ascii="Arial" w:hAnsi="Arial" w:cs="Arial"/>
              </w:rPr>
            </w:pPr>
            <w:r>
              <w:rPr>
                <w:rFonts w:ascii="Arial" w:hAnsi="Arial" w:cs="Arial"/>
              </w:rPr>
              <w:t xml:space="preserve">On September 19, </w:t>
            </w:r>
            <w:r w:rsidRPr="00242A08">
              <w:rPr>
                <w:rFonts w:ascii="Arial" w:hAnsi="Arial" w:cs="Arial"/>
              </w:rPr>
              <w:t>the Pennsylvania Public Utility</w:t>
            </w:r>
            <w:r>
              <w:rPr>
                <w:rFonts w:ascii="Arial" w:hAnsi="Arial" w:cs="Arial"/>
              </w:rPr>
              <w:t xml:space="preserve"> </w:t>
            </w:r>
            <w:r w:rsidRPr="00242A08">
              <w:rPr>
                <w:rFonts w:ascii="Arial" w:hAnsi="Arial" w:cs="Arial"/>
              </w:rPr>
              <w:t>Commission adopted, with only minor modifications, a settlement providing for</w:t>
            </w:r>
            <w:r>
              <w:rPr>
                <w:rFonts w:ascii="Arial" w:hAnsi="Arial" w:cs="Arial"/>
              </w:rPr>
              <w:t xml:space="preserve"> </w:t>
            </w:r>
            <w:r w:rsidRPr="00242A08">
              <w:rPr>
                <w:rFonts w:ascii="Arial" w:hAnsi="Arial" w:cs="Arial"/>
              </w:rPr>
              <w:t>the consolidation of the rate structures for UGI subsidiaries UGI Utilities Inc.,</w:t>
            </w:r>
            <w:r>
              <w:rPr>
                <w:rFonts w:ascii="Arial" w:hAnsi="Arial" w:cs="Arial"/>
              </w:rPr>
              <w:t xml:space="preserve"> </w:t>
            </w:r>
            <w:r w:rsidRPr="00242A08">
              <w:rPr>
                <w:rFonts w:ascii="Arial" w:hAnsi="Arial" w:cs="Arial"/>
              </w:rPr>
              <w:t>UGI Penn Natural Gas Inc. and UGI Central Penn Gas Inc. The consolidated entity</w:t>
            </w:r>
            <w:r>
              <w:rPr>
                <w:rFonts w:ascii="Arial" w:hAnsi="Arial" w:cs="Arial"/>
              </w:rPr>
              <w:t xml:space="preserve"> </w:t>
            </w:r>
            <w:r w:rsidRPr="00242A08">
              <w:rPr>
                <w:rFonts w:ascii="Arial" w:hAnsi="Arial" w:cs="Arial"/>
              </w:rPr>
              <w:t>will do business as UGI Utilities - Gas Division, or UGI Gas.</w:t>
            </w:r>
            <w:r w:rsidR="00AF4BB1" w:rsidRPr="00AF4BB1">
              <w:rPr>
                <w:rFonts w:ascii="Arial" w:hAnsi="Arial" w:cs="Arial"/>
              </w:rPr>
              <w:t xml:space="preserve"> </w:t>
            </w:r>
            <w:r w:rsidR="00AF4BB1" w:rsidRPr="00AF4BB1">
              <w:rPr>
                <w:rFonts w:ascii="Arial" w:hAnsi="Arial" w:cs="Arial"/>
              </w:rPr>
              <w:t>The PUC action comports with the administrative law judge's August 22</w:t>
            </w:r>
            <w:r w:rsidR="00AF4BB1">
              <w:rPr>
                <w:rFonts w:ascii="Arial" w:hAnsi="Arial" w:cs="Arial"/>
              </w:rPr>
              <w:t xml:space="preserve"> </w:t>
            </w:r>
            <w:r w:rsidR="00AF4BB1" w:rsidRPr="00AF4BB1">
              <w:rPr>
                <w:rFonts w:ascii="Arial" w:hAnsi="Arial" w:cs="Arial"/>
              </w:rPr>
              <w:t>recommendation that the commission adopt a "black box"</w:t>
            </w:r>
            <w:r w:rsidR="00AF4BB1">
              <w:rPr>
                <w:rFonts w:ascii="Arial" w:hAnsi="Arial" w:cs="Arial"/>
              </w:rPr>
              <w:t xml:space="preserve"> </w:t>
            </w:r>
            <w:r w:rsidR="00AF4BB1" w:rsidRPr="00AF4BB1">
              <w:rPr>
                <w:rFonts w:ascii="Arial" w:hAnsi="Arial" w:cs="Arial"/>
              </w:rPr>
              <w:t>agreement calling for a $30 million</w:t>
            </w:r>
            <w:r w:rsidR="00AF4BB1">
              <w:rPr>
                <w:rFonts w:ascii="Arial" w:hAnsi="Arial" w:cs="Arial"/>
              </w:rPr>
              <w:t xml:space="preserve"> </w:t>
            </w:r>
            <w:r w:rsidR="00AF4BB1" w:rsidRPr="00AF4BB1">
              <w:rPr>
                <w:rFonts w:ascii="Arial" w:hAnsi="Arial" w:cs="Arial"/>
              </w:rPr>
              <w:t>rate increase.</w:t>
            </w:r>
          </w:p>
          <w:p w:rsidR="00242A08" w:rsidRDefault="00242A08" w:rsidP="00242A08">
            <w:pPr>
              <w:tabs>
                <w:tab w:val="left" w:pos="240"/>
                <w:tab w:val="center" w:pos="4839"/>
              </w:tabs>
              <w:rPr>
                <w:rFonts w:ascii="Arial" w:hAnsi="Arial" w:cs="Arial"/>
              </w:rPr>
            </w:pPr>
          </w:p>
          <w:p w:rsidR="00242A08" w:rsidRDefault="00242A08" w:rsidP="00242A08">
            <w:pPr>
              <w:tabs>
                <w:tab w:val="left" w:pos="240"/>
                <w:tab w:val="center" w:pos="4839"/>
              </w:tabs>
              <w:rPr>
                <w:rFonts w:ascii="Arial" w:hAnsi="Arial" w:cs="Arial"/>
              </w:rPr>
            </w:pPr>
            <w:r w:rsidRPr="00242A08">
              <w:rPr>
                <w:rFonts w:ascii="Arial" w:hAnsi="Arial" w:cs="Arial"/>
              </w:rPr>
              <w:t>The $30 million base rate increase specified in the settlement is less than half that initially sought by UGI Gas. The agreement was silent with respect to the rate of return and rate base parameters giving rise to the stipulated rate increase. As a result, for purposes of calculating the revenue requirement under its distribution system improvement charge, UGI Gas will use the 10% equity return specified by the PUC in conjunction with the release of the staff’s quarterly review of the utilities’ earnings.</w:t>
            </w:r>
          </w:p>
          <w:p w:rsidR="00AF4BB1" w:rsidRDefault="00AF4BB1" w:rsidP="00242A08">
            <w:pPr>
              <w:tabs>
                <w:tab w:val="left" w:pos="240"/>
                <w:tab w:val="center" w:pos="4839"/>
              </w:tabs>
              <w:rPr>
                <w:rFonts w:ascii="Arial" w:hAnsi="Arial" w:cs="Arial"/>
              </w:rPr>
            </w:pPr>
          </w:p>
          <w:p w:rsidR="00AF4BB1" w:rsidRPr="00AF4BB1" w:rsidRDefault="00AF4BB1" w:rsidP="00AF4BB1">
            <w:pPr>
              <w:tabs>
                <w:tab w:val="left" w:pos="240"/>
                <w:tab w:val="center" w:pos="4839"/>
              </w:tabs>
              <w:rPr>
                <w:rFonts w:ascii="Arial" w:hAnsi="Arial" w:cs="Arial"/>
              </w:rPr>
            </w:pPr>
            <w:r w:rsidRPr="00AF4BB1">
              <w:rPr>
                <w:rFonts w:ascii="Arial" w:hAnsi="Arial" w:cs="Arial"/>
              </w:rPr>
              <w:t>Vice Chairman David Sweet submitted a motion modifying the settlement and law judge's</w:t>
            </w:r>
          </w:p>
          <w:p w:rsidR="00AF4BB1" w:rsidRPr="00AF4BB1" w:rsidRDefault="00AF4BB1" w:rsidP="00AF4BB1">
            <w:pPr>
              <w:tabs>
                <w:tab w:val="left" w:pos="240"/>
                <w:tab w:val="center" w:pos="4839"/>
              </w:tabs>
              <w:rPr>
                <w:rFonts w:ascii="Arial" w:hAnsi="Arial" w:cs="Arial"/>
              </w:rPr>
            </w:pPr>
            <w:r w:rsidRPr="00AF4BB1">
              <w:rPr>
                <w:rFonts w:ascii="Arial" w:hAnsi="Arial" w:cs="Arial"/>
              </w:rPr>
              <w:t>recommendation to omit a line regarding recovery of information technology costs through the</w:t>
            </w:r>
          </w:p>
          <w:p w:rsidR="00AF4BB1" w:rsidRPr="00AF4BB1" w:rsidRDefault="00AF4BB1" w:rsidP="00AF4BB1">
            <w:pPr>
              <w:tabs>
                <w:tab w:val="left" w:pos="240"/>
                <w:tab w:val="center" w:pos="4839"/>
              </w:tabs>
              <w:rPr>
                <w:rFonts w:ascii="Arial" w:hAnsi="Arial" w:cs="Arial"/>
              </w:rPr>
            </w:pPr>
            <w:r w:rsidRPr="00AF4BB1">
              <w:rPr>
                <w:rFonts w:ascii="Arial" w:hAnsi="Arial" w:cs="Arial"/>
              </w:rPr>
              <w:t>utility's USP rider. The motion passed unanimously and provide</w:t>
            </w:r>
            <w:r>
              <w:rPr>
                <w:rFonts w:ascii="Arial" w:hAnsi="Arial" w:cs="Arial"/>
              </w:rPr>
              <w:t>d</w:t>
            </w:r>
            <w:r w:rsidRPr="00AF4BB1">
              <w:rPr>
                <w:rFonts w:ascii="Arial" w:hAnsi="Arial" w:cs="Arial"/>
              </w:rPr>
              <w:t xml:space="preserve"> a five-day period in which the</w:t>
            </w:r>
          </w:p>
          <w:p w:rsidR="00AF4BB1" w:rsidRDefault="00AF4BB1" w:rsidP="00AF4BB1">
            <w:pPr>
              <w:tabs>
                <w:tab w:val="left" w:pos="240"/>
                <w:tab w:val="center" w:pos="4839"/>
              </w:tabs>
              <w:rPr>
                <w:rFonts w:ascii="Arial" w:hAnsi="Arial" w:cs="Arial"/>
              </w:rPr>
            </w:pPr>
            <w:r w:rsidRPr="00AF4BB1">
              <w:rPr>
                <w:rFonts w:ascii="Arial" w:hAnsi="Arial" w:cs="Arial"/>
              </w:rPr>
              <w:t>settling parties may withdraw from the settlement.</w:t>
            </w:r>
          </w:p>
          <w:p w:rsidR="001F319B" w:rsidRDefault="001F319B" w:rsidP="00AF4BB1">
            <w:pPr>
              <w:tabs>
                <w:tab w:val="left" w:pos="240"/>
                <w:tab w:val="center" w:pos="4839"/>
              </w:tabs>
              <w:rPr>
                <w:rFonts w:ascii="Arial" w:hAnsi="Arial" w:cs="Arial"/>
              </w:rPr>
            </w:pPr>
          </w:p>
          <w:p w:rsidR="001F319B" w:rsidRDefault="001F319B" w:rsidP="001F319B">
            <w:pPr>
              <w:tabs>
                <w:tab w:val="left" w:pos="240"/>
                <w:tab w:val="center" w:pos="4839"/>
              </w:tabs>
              <w:rPr>
                <w:rFonts w:ascii="Arial" w:hAnsi="Arial" w:cs="Arial"/>
              </w:rPr>
            </w:pPr>
            <w:r w:rsidRPr="001F319B">
              <w:rPr>
                <w:rFonts w:ascii="Arial" w:hAnsi="Arial" w:cs="Arial"/>
              </w:rPr>
              <w:t>The USP rider is to include a 9.2% CAP bad debt offset if CAP enrollment exceeds 19,672 customers.</w:t>
            </w:r>
            <w:r>
              <w:rPr>
                <w:rFonts w:ascii="Arial" w:hAnsi="Arial" w:cs="Arial"/>
              </w:rPr>
              <w:t xml:space="preserve"> </w:t>
            </w:r>
            <w:r w:rsidRPr="001F319B">
              <w:rPr>
                <w:rFonts w:ascii="Arial" w:hAnsi="Arial" w:cs="Arial"/>
              </w:rPr>
              <w:t>UGI Gas is to eliminate a restriction on its budget billing program that precludes</w:t>
            </w:r>
            <w:r>
              <w:rPr>
                <w:rFonts w:ascii="Arial" w:hAnsi="Arial" w:cs="Arial"/>
              </w:rPr>
              <w:t xml:space="preserve"> </w:t>
            </w:r>
            <w:r w:rsidRPr="001F319B">
              <w:rPr>
                <w:rFonts w:ascii="Arial" w:hAnsi="Arial" w:cs="Arial"/>
              </w:rPr>
              <w:t>customers with overdue balances</w:t>
            </w:r>
            <w:r>
              <w:rPr>
                <w:rFonts w:ascii="Arial" w:hAnsi="Arial" w:cs="Arial"/>
              </w:rPr>
              <w:t xml:space="preserve"> </w:t>
            </w:r>
            <w:r w:rsidRPr="001F319B">
              <w:rPr>
                <w:rFonts w:ascii="Arial" w:hAnsi="Arial" w:cs="Arial"/>
              </w:rPr>
              <w:t>from participating.</w:t>
            </w:r>
          </w:p>
          <w:p w:rsidR="00AF4BB1" w:rsidRPr="00AF4BB1" w:rsidRDefault="00AF4BB1" w:rsidP="00AF4BB1">
            <w:pPr>
              <w:tabs>
                <w:tab w:val="left" w:pos="240"/>
                <w:tab w:val="center" w:pos="4839"/>
              </w:tabs>
              <w:rPr>
                <w:rFonts w:ascii="Arial" w:hAnsi="Arial" w:cs="Arial"/>
              </w:rPr>
            </w:pPr>
          </w:p>
          <w:p w:rsidR="00AF4BB1" w:rsidRPr="00AF4BB1" w:rsidRDefault="00AF4BB1" w:rsidP="00AF4BB1">
            <w:pPr>
              <w:tabs>
                <w:tab w:val="left" w:pos="240"/>
                <w:tab w:val="center" w:pos="4839"/>
              </w:tabs>
              <w:rPr>
                <w:rFonts w:ascii="Arial" w:hAnsi="Arial" w:cs="Arial"/>
              </w:rPr>
            </w:pPr>
            <w:r w:rsidRPr="00AF4BB1">
              <w:rPr>
                <w:rFonts w:ascii="Arial" w:hAnsi="Arial" w:cs="Arial"/>
              </w:rPr>
              <w:t>The approved agreement also implements consolidated rate structures for UGI subsidiaries</w:t>
            </w:r>
          </w:p>
          <w:p w:rsidR="00AF4BB1" w:rsidRPr="00AF4BB1" w:rsidRDefault="00AF4BB1" w:rsidP="00AF4BB1">
            <w:pPr>
              <w:tabs>
                <w:tab w:val="left" w:pos="240"/>
                <w:tab w:val="center" w:pos="4839"/>
              </w:tabs>
              <w:rPr>
                <w:rFonts w:ascii="Arial" w:hAnsi="Arial" w:cs="Arial"/>
              </w:rPr>
            </w:pPr>
            <w:r w:rsidRPr="00AF4BB1">
              <w:rPr>
                <w:rFonts w:ascii="Arial" w:hAnsi="Arial" w:cs="Arial"/>
              </w:rPr>
              <w:t>UGI Utilities Inc., UGI Penn Natural Gas Inc. and UGI Central Penn Gas Inc. The three</w:t>
            </w:r>
          </w:p>
          <w:p w:rsidR="00AF4BB1" w:rsidRPr="00AF4BB1" w:rsidRDefault="00AF4BB1" w:rsidP="00AF4BB1">
            <w:pPr>
              <w:tabs>
                <w:tab w:val="left" w:pos="240"/>
                <w:tab w:val="center" w:pos="4839"/>
              </w:tabs>
              <w:rPr>
                <w:rFonts w:ascii="Arial" w:hAnsi="Arial" w:cs="Arial"/>
              </w:rPr>
            </w:pPr>
            <w:r w:rsidRPr="00AF4BB1">
              <w:rPr>
                <w:rFonts w:ascii="Arial" w:hAnsi="Arial" w:cs="Arial"/>
              </w:rPr>
              <w:t>companies were merged in October 2018 and now do business as UGI South District, UGI</w:t>
            </w:r>
          </w:p>
          <w:p w:rsidR="00AF4BB1" w:rsidRPr="00AF4BB1" w:rsidRDefault="00AF4BB1" w:rsidP="00AF4BB1">
            <w:pPr>
              <w:tabs>
                <w:tab w:val="left" w:pos="240"/>
                <w:tab w:val="center" w:pos="4839"/>
              </w:tabs>
              <w:rPr>
                <w:rFonts w:ascii="Arial" w:hAnsi="Arial" w:cs="Arial"/>
              </w:rPr>
            </w:pPr>
            <w:r w:rsidRPr="00AF4BB1">
              <w:rPr>
                <w:rFonts w:ascii="Arial" w:hAnsi="Arial" w:cs="Arial"/>
              </w:rPr>
              <w:t>North District and UGI Central District, respectively. Going forward, the consolidated entity will</w:t>
            </w:r>
          </w:p>
          <w:p w:rsidR="00242A08" w:rsidRDefault="00AF4BB1" w:rsidP="00AF4BB1">
            <w:pPr>
              <w:tabs>
                <w:tab w:val="left" w:pos="240"/>
                <w:tab w:val="center" w:pos="4839"/>
              </w:tabs>
              <w:rPr>
                <w:rFonts w:ascii="Arial" w:hAnsi="Arial" w:cs="Arial"/>
              </w:rPr>
            </w:pPr>
            <w:r w:rsidRPr="00AF4BB1">
              <w:rPr>
                <w:rFonts w:ascii="Arial" w:hAnsi="Arial" w:cs="Arial"/>
              </w:rPr>
              <w:t>do business as UGI Utilities - Gas Division, or UGI Gas.</w:t>
            </w:r>
          </w:p>
          <w:p w:rsidR="00AF4BB1" w:rsidRDefault="00AF4BB1" w:rsidP="00AF4BB1">
            <w:pPr>
              <w:tabs>
                <w:tab w:val="left" w:pos="240"/>
                <w:tab w:val="center" w:pos="4839"/>
              </w:tabs>
              <w:rPr>
                <w:rFonts w:ascii="Arial" w:hAnsi="Arial" w:cs="Arial"/>
              </w:rPr>
            </w:pPr>
          </w:p>
          <w:p w:rsidR="00AF4BB1" w:rsidRPr="00AF4BB1" w:rsidRDefault="00AF4BB1" w:rsidP="00AF4BB1">
            <w:pPr>
              <w:tabs>
                <w:tab w:val="left" w:pos="240"/>
                <w:tab w:val="center" w:pos="4839"/>
              </w:tabs>
              <w:rPr>
                <w:rFonts w:ascii="Arial" w:hAnsi="Arial" w:cs="Arial"/>
              </w:rPr>
            </w:pPr>
            <w:r w:rsidRPr="00AF4BB1">
              <w:rPr>
                <w:rFonts w:ascii="Arial" w:hAnsi="Arial" w:cs="Arial"/>
              </w:rPr>
              <w:t>The filing identified revenue requirement increases of $46.5 million for the South District, $17.8</w:t>
            </w:r>
          </w:p>
          <w:p w:rsidR="00AF4BB1" w:rsidRPr="00AF4BB1" w:rsidRDefault="00AF4BB1" w:rsidP="00AF4BB1">
            <w:pPr>
              <w:tabs>
                <w:tab w:val="left" w:pos="240"/>
                <w:tab w:val="center" w:pos="4839"/>
              </w:tabs>
              <w:rPr>
                <w:rFonts w:ascii="Arial" w:hAnsi="Arial" w:cs="Arial"/>
              </w:rPr>
            </w:pPr>
            <w:r w:rsidRPr="00AF4BB1">
              <w:rPr>
                <w:rFonts w:ascii="Arial" w:hAnsi="Arial" w:cs="Arial"/>
              </w:rPr>
              <w:t>million for the North District and $8.2 million for the Central District and rate bases valued at</w:t>
            </w:r>
          </w:p>
          <w:p w:rsidR="00AF4BB1" w:rsidRPr="00AF4BB1" w:rsidRDefault="00AF4BB1" w:rsidP="00AF4BB1">
            <w:pPr>
              <w:tabs>
                <w:tab w:val="left" w:pos="240"/>
                <w:tab w:val="center" w:pos="4839"/>
              </w:tabs>
              <w:rPr>
                <w:rFonts w:ascii="Arial" w:hAnsi="Arial" w:cs="Arial"/>
              </w:rPr>
            </w:pPr>
            <w:r w:rsidRPr="00AF4BB1">
              <w:rPr>
                <w:rFonts w:ascii="Arial" w:hAnsi="Arial" w:cs="Arial"/>
              </w:rPr>
              <w:t>$1.303 billion for the South District, $669.6 million for the North District and $404.6 million for</w:t>
            </w:r>
          </w:p>
          <w:p w:rsidR="00AF4BB1" w:rsidRDefault="00AF4BB1" w:rsidP="00AF4BB1">
            <w:pPr>
              <w:tabs>
                <w:tab w:val="left" w:pos="240"/>
                <w:tab w:val="center" w:pos="4839"/>
              </w:tabs>
              <w:rPr>
                <w:rFonts w:ascii="Arial" w:hAnsi="Arial" w:cs="Arial"/>
              </w:rPr>
            </w:pPr>
            <w:r w:rsidRPr="00AF4BB1">
              <w:rPr>
                <w:rFonts w:ascii="Arial" w:hAnsi="Arial" w:cs="Arial"/>
              </w:rPr>
              <w:t>the Central District.</w:t>
            </w:r>
          </w:p>
          <w:p w:rsidR="00AF4BB1" w:rsidRPr="00AF4BB1" w:rsidRDefault="00AF4BB1" w:rsidP="00AF4BB1">
            <w:pPr>
              <w:tabs>
                <w:tab w:val="left" w:pos="240"/>
                <w:tab w:val="center" w:pos="4839"/>
              </w:tabs>
              <w:rPr>
                <w:rFonts w:ascii="Arial" w:hAnsi="Arial" w:cs="Arial"/>
              </w:rPr>
            </w:pPr>
          </w:p>
          <w:p w:rsidR="00AF4BB1" w:rsidRPr="00AF4BB1" w:rsidRDefault="00AF4BB1" w:rsidP="00AF4BB1">
            <w:pPr>
              <w:tabs>
                <w:tab w:val="left" w:pos="240"/>
                <w:tab w:val="center" w:pos="4839"/>
              </w:tabs>
              <w:rPr>
                <w:rFonts w:ascii="Arial" w:hAnsi="Arial" w:cs="Arial"/>
              </w:rPr>
            </w:pPr>
            <w:r w:rsidRPr="00AF4BB1">
              <w:rPr>
                <w:rFonts w:ascii="Arial" w:hAnsi="Arial" w:cs="Arial"/>
              </w:rPr>
              <w:t>The approved agreement also provides that following implementation of new rates in this case,</w:t>
            </w:r>
          </w:p>
          <w:p w:rsidR="00AF4BB1" w:rsidRPr="00AF4BB1" w:rsidRDefault="00AF4BB1" w:rsidP="00AF4BB1">
            <w:pPr>
              <w:tabs>
                <w:tab w:val="left" w:pos="240"/>
                <w:tab w:val="center" w:pos="4839"/>
              </w:tabs>
              <w:rPr>
                <w:rFonts w:ascii="Arial" w:hAnsi="Arial" w:cs="Arial"/>
              </w:rPr>
            </w:pPr>
            <w:r w:rsidRPr="00AF4BB1">
              <w:rPr>
                <w:rFonts w:ascii="Arial" w:hAnsi="Arial" w:cs="Arial"/>
              </w:rPr>
              <w:t>UGI Gas would be eligible to include plant additions in the Distribution System Improvement</w:t>
            </w:r>
          </w:p>
          <w:p w:rsidR="00AF4BB1" w:rsidRPr="00AF4BB1" w:rsidRDefault="00AF4BB1" w:rsidP="00AF4BB1">
            <w:pPr>
              <w:tabs>
                <w:tab w:val="left" w:pos="240"/>
                <w:tab w:val="center" w:pos="4839"/>
              </w:tabs>
              <w:rPr>
                <w:rFonts w:ascii="Arial" w:hAnsi="Arial" w:cs="Arial"/>
              </w:rPr>
            </w:pPr>
            <w:r w:rsidRPr="00AF4BB1">
              <w:rPr>
                <w:rFonts w:ascii="Arial" w:hAnsi="Arial" w:cs="Arial"/>
              </w:rPr>
              <w:t>Charge, or DSIC, once the total net plant balances reach the levels projected by the company</w:t>
            </w:r>
          </w:p>
          <w:p w:rsidR="00AF4BB1" w:rsidRDefault="00AF4BB1" w:rsidP="00AF4BB1">
            <w:pPr>
              <w:tabs>
                <w:tab w:val="left" w:pos="240"/>
                <w:tab w:val="center" w:pos="4839"/>
              </w:tabs>
              <w:rPr>
                <w:rFonts w:ascii="Arial" w:hAnsi="Arial" w:cs="Arial"/>
              </w:rPr>
            </w:pPr>
            <w:r w:rsidRPr="00AF4BB1">
              <w:rPr>
                <w:rFonts w:ascii="Arial" w:hAnsi="Arial" w:cs="Arial"/>
              </w:rPr>
              <w:t>to be in service as of Sept. 30, 2020: $2.875 billion.</w:t>
            </w:r>
          </w:p>
          <w:p w:rsidR="001F319B" w:rsidRPr="00AF4BB1" w:rsidRDefault="001F319B" w:rsidP="00AF4BB1">
            <w:pPr>
              <w:tabs>
                <w:tab w:val="left" w:pos="240"/>
                <w:tab w:val="center" w:pos="4839"/>
              </w:tabs>
              <w:rPr>
                <w:rFonts w:ascii="Arial" w:hAnsi="Arial" w:cs="Arial"/>
              </w:rPr>
            </w:pPr>
          </w:p>
          <w:p w:rsidR="0010764C" w:rsidRDefault="00AF4BB1" w:rsidP="00AF4BB1">
            <w:pPr>
              <w:tabs>
                <w:tab w:val="left" w:pos="240"/>
                <w:tab w:val="center" w:pos="4839"/>
              </w:tabs>
              <w:rPr>
                <w:rFonts w:ascii="Arial" w:hAnsi="Arial" w:cs="Arial"/>
              </w:rPr>
            </w:pPr>
            <w:r w:rsidRPr="00AF4BB1">
              <w:rPr>
                <w:rFonts w:ascii="Arial" w:hAnsi="Arial" w:cs="Arial"/>
              </w:rPr>
              <w:t>New rates are to become effective Oct. 1.</w:t>
            </w:r>
          </w:p>
          <w:p w:rsidR="00242A08" w:rsidRPr="00B51D1F" w:rsidRDefault="00242A08" w:rsidP="00242A08">
            <w:pPr>
              <w:tabs>
                <w:tab w:val="left" w:pos="240"/>
                <w:tab w:val="center" w:pos="4839"/>
              </w:tabs>
              <w:rPr>
                <w:rFonts w:ascii="Arial" w:hAnsi="Arial" w:cs="Arial"/>
              </w:rPr>
            </w:pPr>
          </w:p>
        </w:tc>
      </w:tr>
      <w:tr w:rsidR="002A162A" w:rsidRPr="000602A6" w:rsidTr="00975117">
        <w:trPr>
          <w:trHeight w:val="279"/>
        </w:trPr>
        <w:tc>
          <w:tcPr>
            <w:tcW w:w="9895" w:type="dxa"/>
            <w:gridSpan w:val="2"/>
            <w:shd w:val="clear" w:color="auto" w:fill="1F4E79" w:themeFill="accent1" w:themeFillShade="80"/>
          </w:tcPr>
          <w:p w:rsidR="002A162A" w:rsidRPr="000602A6" w:rsidRDefault="002A162A" w:rsidP="00975117">
            <w:pPr>
              <w:jc w:val="center"/>
              <w:rPr>
                <w:rFonts w:ascii="Arial" w:hAnsi="Arial" w:cs="Arial"/>
                <w:b/>
                <w:color w:val="FFFFFF" w:themeColor="background1"/>
              </w:rPr>
            </w:pPr>
            <w:r>
              <w:rPr>
                <w:rFonts w:ascii="Arial" w:hAnsi="Arial" w:cs="Arial"/>
                <w:b/>
                <w:color w:val="FFFFFF" w:themeColor="background1"/>
              </w:rPr>
              <w:lastRenderedPageBreak/>
              <w:t>September 26, 2019</w:t>
            </w:r>
          </w:p>
        </w:tc>
      </w:tr>
      <w:tr w:rsidR="002A162A" w:rsidRPr="000602A6"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2A162A" w:rsidRPr="000602A6" w:rsidRDefault="002A162A" w:rsidP="00975117">
            <w:pPr>
              <w:rPr>
                <w:rFonts w:ascii="Arial" w:hAnsi="Arial" w:cs="Arial"/>
              </w:rPr>
            </w:pPr>
            <w:r>
              <w:rPr>
                <w:rFonts w:ascii="Arial" w:hAnsi="Arial" w:cs="Arial"/>
              </w:rPr>
              <w:t>San Diego Gas &amp; Electric</w:t>
            </w:r>
          </w:p>
        </w:tc>
      </w:tr>
      <w:tr w:rsidR="002A162A" w:rsidRPr="00B51D1F"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rsidR="002A162A" w:rsidRPr="00B51D1F" w:rsidRDefault="002A162A" w:rsidP="00975117">
            <w:pPr>
              <w:rPr>
                <w:rFonts w:ascii="Arial" w:hAnsi="Arial" w:cs="Arial"/>
              </w:rPr>
            </w:pPr>
            <w:r>
              <w:rPr>
                <w:rFonts w:ascii="Arial" w:hAnsi="Arial" w:cs="Arial"/>
              </w:rPr>
              <w:t>California</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2A162A" w:rsidRPr="00B51D1F" w:rsidRDefault="003E1F66" w:rsidP="00975117">
            <w:pPr>
              <w:rPr>
                <w:rFonts w:ascii="Arial" w:hAnsi="Arial" w:cs="Arial"/>
                <w:color w:val="0000FF"/>
                <w:u w:val="single"/>
              </w:rPr>
            </w:pPr>
            <w:hyperlink r:id="rId18" w:history="1">
              <w:r w:rsidRPr="003E1F66">
                <w:rPr>
                  <w:rStyle w:val="Hyperlink"/>
                  <w:rFonts w:ascii="Arial" w:hAnsi="Arial" w:cs="Arial"/>
                </w:rPr>
                <w:t>A-17-10-</w:t>
              </w:r>
              <w:r w:rsidRPr="003E1F66">
                <w:rPr>
                  <w:rStyle w:val="Hyperlink"/>
                  <w:rFonts w:ascii="Arial" w:hAnsi="Arial" w:cs="Arial"/>
                </w:rPr>
                <w:t>007</w:t>
              </w:r>
            </w:hyperlink>
          </w:p>
        </w:tc>
      </w:tr>
      <w:tr w:rsidR="002A162A" w:rsidRPr="00416BC2"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2A162A" w:rsidRPr="00416BC2" w:rsidRDefault="00145DEA" w:rsidP="00975117">
            <w:pPr>
              <w:rPr>
                <w:rFonts w:ascii="Arial" w:hAnsi="Arial" w:cs="Arial"/>
              </w:rPr>
            </w:pPr>
            <w:r>
              <w:rPr>
                <w:rFonts w:ascii="Arial" w:hAnsi="Arial" w:cs="Arial"/>
              </w:rPr>
              <w:t>$71,</w:t>
            </w:r>
            <w:r w:rsidR="00600E09">
              <w:rPr>
                <w:rFonts w:ascii="Arial" w:hAnsi="Arial" w:cs="Arial"/>
              </w:rPr>
              <w:t>710,000</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2A162A" w:rsidRPr="00B51D1F" w:rsidRDefault="00600E09" w:rsidP="00975117">
            <w:pPr>
              <w:rPr>
                <w:rFonts w:ascii="Arial" w:hAnsi="Arial" w:cs="Arial"/>
              </w:rPr>
            </w:pPr>
            <w:r>
              <w:rPr>
                <w:rFonts w:ascii="Arial" w:hAnsi="Arial" w:cs="Arial"/>
              </w:rPr>
              <w:t>10.2%</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7650" w:type="dxa"/>
          </w:tcPr>
          <w:p w:rsidR="002A162A" w:rsidRPr="00B51D1F" w:rsidRDefault="003E1F66" w:rsidP="00975117">
            <w:pPr>
              <w:rPr>
                <w:rFonts w:ascii="Arial" w:hAnsi="Arial" w:cs="Arial"/>
              </w:rPr>
            </w:pPr>
            <w:r w:rsidRPr="003E1F66">
              <w:rPr>
                <w:rFonts w:ascii="Arial" w:hAnsi="Arial" w:cs="Arial"/>
              </w:rPr>
              <w:t>Consumer Federation of California</w:t>
            </w:r>
            <w:r>
              <w:rPr>
                <w:rFonts w:ascii="Arial" w:hAnsi="Arial" w:cs="Arial"/>
              </w:rPr>
              <w:t xml:space="preserve">, Sierra Club, Union of Concerned Scientists, </w:t>
            </w:r>
            <w:r w:rsidR="00C0211C">
              <w:rPr>
                <w:rFonts w:ascii="Arial" w:hAnsi="Arial" w:cs="Arial"/>
              </w:rPr>
              <w:t xml:space="preserve">Calpine Corporation, </w:t>
            </w:r>
            <w:r w:rsidR="00C0211C" w:rsidRPr="00C0211C">
              <w:rPr>
                <w:rFonts w:ascii="Arial" w:hAnsi="Arial" w:cs="Arial"/>
              </w:rPr>
              <w:t>City of Long Beach Gas &amp; Oil Department</w:t>
            </w:r>
            <w:r w:rsidR="00C0211C">
              <w:rPr>
                <w:rFonts w:ascii="Arial" w:hAnsi="Arial" w:cs="Arial"/>
              </w:rPr>
              <w:t xml:space="preserve">, </w:t>
            </w:r>
            <w:r w:rsidR="00C0211C" w:rsidRPr="00C0211C">
              <w:rPr>
                <w:rFonts w:ascii="Arial" w:hAnsi="Arial" w:cs="Arial"/>
              </w:rPr>
              <w:t>Protect Our Communities Foundation</w:t>
            </w:r>
            <w:r w:rsidR="00C0211C">
              <w:rPr>
                <w:rFonts w:ascii="Arial" w:hAnsi="Arial" w:cs="Arial"/>
              </w:rPr>
              <w:t xml:space="preserve">, </w:t>
            </w:r>
            <w:r w:rsidR="00C0211C" w:rsidRPr="00C0211C">
              <w:rPr>
                <w:rFonts w:ascii="Arial" w:hAnsi="Arial" w:cs="Arial"/>
              </w:rPr>
              <w:t>The Utility Reform Network</w:t>
            </w:r>
            <w:r w:rsidR="00C0211C">
              <w:rPr>
                <w:rFonts w:ascii="Arial" w:hAnsi="Arial" w:cs="Arial"/>
              </w:rPr>
              <w:t xml:space="preserve">, </w:t>
            </w:r>
            <w:r w:rsidR="00C0211C" w:rsidRPr="00C0211C">
              <w:rPr>
                <w:rFonts w:ascii="Arial" w:hAnsi="Arial" w:cs="Arial"/>
              </w:rPr>
              <w:t>Utility Consumers' Action Network</w:t>
            </w:r>
            <w:r w:rsidR="00C0211C">
              <w:rPr>
                <w:rFonts w:ascii="Arial" w:hAnsi="Arial" w:cs="Arial"/>
              </w:rPr>
              <w:t xml:space="preserve">, </w:t>
            </w:r>
            <w:r w:rsidR="00C0211C" w:rsidRPr="00C0211C">
              <w:rPr>
                <w:rFonts w:ascii="Arial" w:hAnsi="Arial" w:cs="Arial"/>
              </w:rPr>
              <w:t>Indicated Shippers</w:t>
            </w:r>
            <w:r w:rsidR="00C0211C">
              <w:rPr>
                <w:rFonts w:ascii="Arial" w:hAnsi="Arial" w:cs="Arial"/>
              </w:rPr>
              <w:t xml:space="preserve">, </w:t>
            </w:r>
            <w:r w:rsidR="00C0211C" w:rsidRPr="00C0211C">
              <w:rPr>
                <w:rFonts w:ascii="Arial" w:hAnsi="Arial" w:cs="Arial"/>
              </w:rPr>
              <w:t>Coalition of California Utility Employees</w:t>
            </w:r>
            <w:r w:rsidR="00C0211C">
              <w:rPr>
                <w:rFonts w:ascii="Arial" w:hAnsi="Arial" w:cs="Arial"/>
              </w:rPr>
              <w:t xml:space="preserve">, </w:t>
            </w:r>
            <w:r w:rsidR="00C0211C" w:rsidRPr="00C0211C">
              <w:rPr>
                <w:rFonts w:ascii="Arial" w:hAnsi="Arial" w:cs="Arial"/>
              </w:rPr>
              <w:t>Small Business Utility Advocates</w:t>
            </w:r>
            <w:r w:rsidR="00C0211C">
              <w:rPr>
                <w:rFonts w:ascii="Arial" w:hAnsi="Arial" w:cs="Arial"/>
              </w:rPr>
              <w:t xml:space="preserve">, </w:t>
            </w:r>
            <w:r w:rsidR="00C0211C" w:rsidRPr="00C0211C">
              <w:rPr>
                <w:rFonts w:ascii="Arial" w:hAnsi="Arial" w:cs="Arial"/>
              </w:rPr>
              <w:t>Southern California Generation Coalition</w:t>
            </w:r>
            <w:r w:rsidR="00C0211C">
              <w:rPr>
                <w:rFonts w:ascii="Arial" w:hAnsi="Arial" w:cs="Arial"/>
              </w:rPr>
              <w:t xml:space="preserve">, </w:t>
            </w:r>
            <w:r w:rsidR="00C0211C" w:rsidRPr="00C0211C">
              <w:rPr>
                <w:rFonts w:ascii="Arial" w:hAnsi="Arial" w:cs="Arial"/>
              </w:rPr>
              <w:tab/>
              <w:t>City of Lancaster</w:t>
            </w:r>
            <w:r w:rsidR="00C0211C">
              <w:rPr>
                <w:rFonts w:ascii="Arial" w:hAnsi="Arial" w:cs="Arial"/>
              </w:rPr>
              <w:t xml:space="preserve">, </w:t>
            </w:r>
            <w:r w:rsidR="00C0211C" w:rsidRPr="00C0211C">
              <w:rPr>
                <w:rFonts w:ascii="Arial" w:hAnsi="Arial" w:cs="Arial"/>
              </w:rPr>
              <w:t>National Diversity Coalition,</w:t>
            </w:r>
            <w:r w:rsidR="00C0211C">
              <w:rPr>
                <w:rFonts w:ascii="Arial" w:hAnsi="Arial" w:cs="Arial"/>
              </w:rPr>
              <w:t xml:space="preserve"> and </w:t>
            </w:r>
            <w:r w:rsidR="00C0211C" w:rsidRPr="00C0211C">
              <w:rPr>
                <w:rFonts w:ascii="Arial" w:hAnsi="Arial" w:cs="Arial"/>
              </w:rPr>
              <w:t>National Asian American Coalition</w:t>
            </w:r>
          </w:p>
        </w:tc>
      </w:tr>
      <w:tr w:rsidR="002A162A" w:rsidRPr="00B51D1F" w:rsidTr="00975117">
        <w:trPr>
          <w:trHeight w:val="263"/>
        </w:trPr>
        <w:tc>
          <w:tcPr>
            <w:tcW w:w="9895" w:type="dxa"/>
            <w:gridSpan w:val="2"/>
            <w:shd w:val="clear" w:color="auto" w:fill="1F4E79" w:themeFill="accent1" w:themeFillShade="80"/>
          </w:tcPr>
          <w:p w:rsidR="002A162A" w:rsidRPr="00B51D1F" w:rsidRDefault="002A162A" w:rsidP="0097511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2A162A" w:rsidRPr="00B51D1F" w:rsidTr="00975117">
        <w:trPr>
          <w:trHeight w:val="263"/>
        </w:trPr>
        <w:tc>
          <w:tcPr>
            <w:tcW w:w="9895" w:type="dxa"/>
            <w:gridSpan w:val="2"/>
            <w:shd w:val="clear" w:color="auto" w:fill="FFFFFF" w:themeFill="background1"/>
          </w:tcPr>
          <w:p w:rsidR="002A162A" w:rsidRDefault="00600E09" w:rsidP="003E1F66">
            <w:pPr>
              <w:tabs>
                <w:tab w:val="left" w:pos="240"/>
                <w:tab w:val="center" w:pos="4839"/>
              </w:tabs>
              <w:rPr>
                <w:rFonts w:ascii="Arial" w:hAnsi="Arial" w:cs="Arial"/>
              </w:rPr>
            </w:pPr>
            <w:r w:rsidRPr="00600E09">
              <w:rPr>
                <w:rFonts w:ascii="Arial" w:hAnsi="Arial" w:cs="Arial"/>
              </w:rPr>
              <w:t>The California Public Utilities Commission voted Sept. 26 to authorize a combined electric and gas rate increase of $422 million in 2019 for San Diego Gas &amp; Electric Co. and Southern California Gas Co., both subsidiaries of Sempra Energy.</w:t>
            </w:r>
          </w:p>
          <w:p w:rsidR="00600E09" w:rsidRDefault="00600E09" w:rsidP="003E1F66">
            <w:pPr>
              <w:tabs>
                <w:tab w:val="left" w:pos="240"/>
                <w:tab w:val="center" w:pos="4839"/>
              </w:tabs>
              <w:rPr>
                <w:rFonts w:ascii="Arial" w:hAnsi="Arial" w:cs="Arial"/>
              </w:rPr>
            </w:pPr>
          </w:p>
          <w:p w:rsidR="00600E09" w:rsidRDefault="00600E09" w:rsidP="003E1F66">
            <w:pPr>
              <w:tabs>
                <w:tab w:val="left" w:pos="240"/>
                <w:tab w:val="center" w:pos="4839"/>
              </w:tabs>
            </w:pPr>
            <w:r w:rsidRPr="00600E09">
              <w:rPr>
                <w:rFonts w:ascii="Arial" w:hAnsi="Arial" w:cs="Arial"/>
              </w:rPr>
              <w:t>The commission</w:t>
            </w:r>
            <w:r>
              <w:rPr>
                <w:rFonts w:ascii="Arial" w:hAnsi="Arial" w:cs="Arial"/>
              </w:rPr>
              <w:t xml:space="preserve"> </w:t>
            </w:r>
            <w:r w:rsidRPr="00600E09">
              <w:rPr>
                <w:rFonts w:ascii="Arial" w:hAnsi="Arial" w:cs="Arial"/>
              </w:rPr>
              <w:t>authorized San Diego Gas &amp; Electric</w:t>
            </w:r>
            <w:r w:rsidR="00E93DDE">
              <w:rPr>
                <w:rFonts w:ascii="Arial" w:hAnsi="Arial" w:cs="Arial"/>
              </w:rPr>
              <w:t xml:space="preserve"> </w:t>
            </w:r>
            <w:r w:rsidRPr="00600E09">
              <w:rPr>
                <w:rFonts w:ascii="Arial" w:hAnsi="Arial" w:cs="Arial"/>
              </w:rPr>
              <w:t>a $71.7 million increase in gas base rates</w:t>
            </w:r>
            <w:r>
              <w:rPr>
                <w:rFonts w:ascii="Arial" w:hAnsi="Arial" w:cs="Arial"/>
              </w:rPr>
              <w:t xml:space="preserve"> </w:t>
            </w:r>
            <w:r w:rsidRPr="00600E09">
              <w:rPr>
                <w:rFonts w:ascii="Arial" w:hAnsi="Arial" w:cs="Arial"/>
              </w:rPr>
              <w:t>effective beginning Jan. 1, 2019.</w:t>
            </w:r>
            <w:r>
              <w:t xml:space="preserve"> </w:t>
            </w:r>
          </w:p>
          <w:p w:rsidR="00600E09" w:rsidRDefault="00600E09" w:rsidP="003E1F66">
            <w:pPr>
              <w:tabs>
                <w:tab w:val="left" w:pos="240"/>
                <w:tab w:val="center" w:pos="4839"/>
              </w:tabs>
            </w:pPr>
          </w:p>
          <w:p w:rsidR="00600E09" w:rsidRDefault="00600E09" w:rsidP="003E1F66">
            <w:pPr>
              <w:tabs>
                <w:tab w:val="left" w:pos="240"/>
                <w:tab w:val="center" w:pos="4839"/>
              </w:tabs>
              <w:rPr>
                <w:rFonts w:ascii="Arial" w:hAnsi="Arial" w:cs="Arial"/>
              </w:rPr>
            </w:pPr>
            <w:r w:rsidRPr="00600E09">
              <w:rPr>
                <w:rFonts w:ascii="Arial" w:hAnsi="Arial" w:cs="Arial"/>
              </w:rPr>
              <w:t>The PUC decision also adopts post-test year</w:t>
            </w:r>
            <w:r w:rsidR="00E93DDE">
              <w:rPr>
                <w:rFonts w:ascii="Arial" w:hAnsi="Arial" w:cs="Arial"/>
              </w:rPr>
              <w:t xml:space="preserve"> </w:t>
            </w:r>
            <w:r w:rsidRPr="00600E09">
              <w:rPr>
                <w:rFonts w:ascii="Arial" w:hAnsi="Arial" w:cs="Arial"/>
              </w:rPr>
              <w:t>revenue requirement adjustments for SDG&amp;E's combined gas and electric operations of $134.2 million for 2020 (a 6.74% increase) and $102.5 million for 2021 (a 4.83% increase).</w:t>
            </w:r>
            <w:r>
              <w:t xml:space="preserve"> </w:t>
            </w:r>
            <w:r w:rsidRPr="00600E09">
              <w:rPr>
                <w:rFonts w:ascii="Arial" w:hAnsi="Arial" w:cs="Arial"/>
              </w:rPr>
              <w:t>The decision denied the utilities a third PTY revenue adjustment for 2022; however, the commission is considering a third PTY adjustment for all large investor-owned utilities under a separate proceeding.</w:t>
            </w:r>
          </w:p>
          <w:p w:rsidR="00600E09" w:rsidRDefault="00600E09" w:rsidP="003E1F66">
            <w:pPr>
              <w:tabs>
                <w:tab w:val="left" w:pos="240"/>
                <w:tab w:val="center" w:pos="4839"/>
              </w:tabs>
              <w:rPr>
                <w:rFonts w:ascii="Arial" w:hAnsi="Arial" w:cs="Arial"/>
              </w:rPr>
            </w:pPr>
          </w:p>
          <w:p w:rsidR="00600E09" w:rsidRDefault="00600E09" w:rsidP="003E1F66">
            <w:pPr>
              <w:tabs>
                <w:tab w:val="left" w:pos="240"/>
                <w:tab w:val="center" w:pos="4839"/>
              </w:tabs>
              <w:rPr>
                <w:rFonts w:ascii="Arial" w:hAnsi="Arial" w:cs="Arial"/>
              </w:rPr>
            </w:pPr>
            <w:r w:rsidRPr="00600E09">
              <w:rPr>
                <w:rFonts w:ascii="Arial" w:hAnsi="Arial" w:cs="Arial"/>
              </w:rPr>
              <w:t>Cost of capital was not an issue in this proceeding, as it is determined in a separate automatic adjustment mechanism. SDG&amp;E is currently authorized a 10.2% ROE (52% of capital) and a 7.55% overall return.</w:t>
            </w:r>
          </w:p>
          <w:p w:rsidR="00600E09" w:rsidRDefault="00600E09" w:rsidP="003E1F66">
            <w:pPr>
              <w:tabs>
                <w:tab w:val="left" w:pos="240"/>
                <w:tab w:val="center" w:pos="4839"/>
              </w:tabs>
              <w:rPr>
                <w:rFonts w:ascii="Arial" w:hAnsi="Arial" w:cs="Arial"/>
              </w:rPr>
            </w:pPr>
          </w:p>
          <w:p w:rsidR="00E93DDE" w:rsidRDefault="00600E09" w:rsidP="003E1F66">
            <w:pPr>
              <w:tabs>
                <w:tab w:val="left" w:pos="240"/>
                <w:tab w:val="center" w:pos="4839"/>
              </w:tabs>
              <w:rPr>
                <w:rFonts w:ascii="Arial" w:hAnsi="Arial" w:cs="Arial"/>
              </w:rPr>
            </w:pPr>
            <w:r w:rsidRPr="00600E09">
              <w:rPr>
                <w:rFonts w:ascii="Arial" w:hAnsi="Arial" w:cs="Arial"/>
              </w:rPr>
              <w:t>A large part of the revenue requirement increases represent costs for incremental safety-related programs and activities that are being added to the rate case for the first time as a result of the PUC's Risk Assessment Mitigation Phase, which requires SDG&amp;E and SoCalGas to identify key safety risks and to propose programs to mitigate them.</w:t>
            </w:r>
            <w:r>
              <w:rPr>
                <w:rFonts w:ascii="Arial" w:hAnsi="Arial" w:cs="Arial"/>
              </w:rPr>
              <w:t xml:space="preserve"> </w:t>
            </w:r>
            <w:r w:rsidRPr="00600E09">
              <w:rPr>
                <w:rFonts w:ascii="Arial" w:hAnsi="Arial" w:cs="Arial"/>
              </w:rPr>
              <w:t>The funding allows SDG&amp;E and SCG to perform increased mitigation efforts to mitigate key safety risks such as wildfires caused by SDG&amp;E equipment.</w:t>
            </w:r>
          </w:p>
          <w:p w:rsidR="00303AE0" w:rsidRDefault="00303AE0" w:rsidP="003E1F66">
            <w:pPr>
              <w:tabs>
                <w:tab w:val="left" w:pos="240"/>
                <w:tab w:val="center" w:pos="4839"/>
              </w:tabs>
              <w:rPr>
                <w:rFonts w:ascii="Arial" w:hAnsi="Arial" w:cs="Arial"/>
              </w:rPr>
            </w:pPr>
          </w:p>
          <w:p w:rsidR="00303AE0" w:rsidRDefault="00303AE0" w:rsidP="003E1F66">
            <w:pPr>
              <w:tabs>
                <w:tab w:val="left" w:pos="240"/>
                <w:tab w:val="center" w:pos="4839"/>
              </w:tabs>
              <w:rPr>
                <w:rFonts w:ascii="Arial" w:hAnsi="Arial" w:cs="Arial"/>
              </w:rPr>
            </w:pPr>
          </w:p>
          <w:p w:rsidR="00303AE0" w:rsidRDefault="00303AE0" w:rsidP="003E1F66">
            <w:pPr>
              <w:tabs>
                <w:tab w:val="left" w:pos="240"/>
                <w:tab w:val="center" w:pos="4839"/>
              </w:tabs>
              <w:rPr>
                <w:rFonts w:ascii="Arial" w:hAnsi="Arial" w:cs="Arial"/>
              </w:rPr>
            </w:pPr>
          </w:p>
          <w:p w:rsidR="00303AE0" w:rsidRDefault="00303AE0" w:rsidP="003E1F66">
            <w:pPr>
              <w:tabs>
                <w:tab w:val="left" w:pos="240"/>
                <w:tab w:val="center" w:pos="4839"/>
              </w:tabs>
              <w:rPr>
                <w:rFonts w:ascii="Arial" w:hAnsi="Arial" w:cs="Arial"/>
              </w:rPr>
            </w:pPr>
          </w:p>
          <w:p w:rsidR="00303AE0" w:rsidRDefault="00303AE0" w:rsidP="003E1F66">
            <w:pPr>
              <w:tabs>
                <w:tab w:val="left" w:pos="240"/>
                <w:tab w:val="center" w:pos="4839"/>
              </w:tabs>
              <w:rPr>
                <w:rFonts w:ascii="Arial" w:hAnsi="Arial" w:cs="Arial"/>
              </w:rPr>
            </w:pPr>
          </w:p>
          <w:p w:rsidR="00303AE0" w:rsidRDefault="00303AE0" w:rsidP="003E1F66">
            <w:pPr>
              <w:tabs>
                <w:tab w:val="left" w:pos="240"/>
                <w:tab w:val="center" w:pos="4839"/>
              </w:tabs>
              <w:rPr>
                <w:rFonts w:ascii="Arial" w:hAnsi="Arial" w:cs="Arial"/>
              </w:rPr>
            </w:pPr>
          </w:p>
          <w:p w:rsidR="00303AE0" w:rsidRDefault="00303AE0" w:rsidP="003E1F66">
            <w:pPr>
              <w:tabs>
                <w:tab w:val="left" w:pos="240"/>
                <w:tab w:val="center" w:pos="4839"/>
              </w:tabs>
              <w:rPr>
                <w:rFonts w:ascii="Arial" w:hAnsi="Arial" w:cs="Arial"/>
              </w:rPr>
            </w:pPr>
          </w:p>
          <w:p w:rsidR="00600E09" w:rsidRPr="00B51D1F" w:rsidRDefault="00600E09" w:rsidP="003E1F66">
            <w:pPr>
              <w:tabs>
                <w:tab w:val="left" w:pos="240"/>
                <w:tab w:val="center" w:pos="4839"/>
              </w:tabs>
              <w:rPr>
                <w:rFonts w:ascii="Arial" w:hAnsi="Arial" w:cs="Arial"/>
              </w:rPr>
            </w:pPr>
          </w:p>
        </w:tc>
      </w:tr>
      <w:tr w:rsidR="002A162A" w:rsidRPr="000602A6" w:rsidTr="00975117">
        <w:trPr>
          <w:trHeight w:val="279"/>
        </w:trPr>
        <w:tc>
          <w:tcPr>
            <w:tcW w:w="9895" w:type="dxa"/>
            <w:gridSpan w:val="2"/>
            <w:shd w:val="clear" w:color="auto" w:fill="1F4E79" w:themeFill="accent1" w:themeFillShade="80"/>
          </w:tcPr>
          <w:p w:rsidR="002A162A" w:rsidRPr="000602A6" w:rsidRDefault="002A162A" w:rsidP="00975117">
            <w:pPr>
              <w:jc w:val="center"/>
              <w:rPr>
                <w:rFonts w:ascii="Arial" w:hAnsi="Arial" w:cs="Arial"/>
                <w:b/>
                <w:color w:val="FFFFFF" w:themeColor="background1"/>
              </w:rPr>
            </w:pPr>
            <w:r>
              <w:rPr>
                <w:rFonts w:ascii="Arial" w:hAnsi="Arial" w:cs="Arial"/>
                <w:b/>
                <w:color w:val="FFFFFF" w:themeColor="background1"/>
              </w:rPr>
              <w:lastRenderedPageBreak/>
              <w:t>September 26, 2019</w:t>
            </w:r>
          </w:p>
        </w:tc>
      </w:tr>
      <w:tr w:rsidR="002A162A" w:rsidRPr="000602A6"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2A162A" w:rsidRPr="000602A6" w:rsidRDefault="002A162A" w:rsidP="00975117">
            <w:pPr>
              <w:rPr>
                <w:rFonts w:ascii="Arial" w:hAnsi="Arial" w:cs="Arial"/>
              </w:rPr>
            </w:pPr>
            <w:r>
              <w:rPr>
                <w:rFonts w:ascii="Arial" w:hAnsi="Arial" w:cs="Arial"/>
              </w:rPr>
              <w:t>Southern California Gas Co.</w:t>
            </w:r>
          </w:p>
        </w:tc>
      </w:tr>
      <w:tr w:rsidR="002A162A" w:rsidRPr="00B51D1F"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rsidR="002A162A" w:rsidRPr="00B51D1F" w:rsidRDefault="002A162A" w:rsidP="00975117">
            <w:pPr>
              <w:rPr>
                <w:rFonts w:ascii="Arial" w:hAnsi="Arial" w:cs="Arial"/>
              </w:rPr>
            </w:pPr>
            <w:r>
              <w:rPr>
                <w:rFonts w:ascii="Arial" w:hAnsi="Arial" w:cs="Arial"/>
              </w:rPr>
              <w:t>California</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2A162A" w:rsidRPr="00B51D1F" w:rsidRDefault="003E1F66" w:rsidP="00975117">
            <w:pPr>
              <w:rPr>
                <w:rFonts w:ascii="Arial" w:hAnsi="Arial" w:cs="Arial"/>
                <w:color w:val="0000FF"/>
                <w:u w:val="single"/>
              </w:rPr>
            </w:pPr>
            <w:hyperlink r:id="rId19" w:history="1">
              <w:r w:rsidRPr="003E1F66">
                <w:rPr>
                  <w:rStyle w:val="Hyperlink"/>
                  <w:rFonts w:ascii="Arial" w:hAnsi="Arial" w:cs="Arial"/>
                </w:rPr>
                <w:t>A-17-10-</w:t>
              </w:r>
              <w:r w:rsidRPr="003E1F66">
                <w:rPr>
                  <w:rStyle w:val="Hyperlink"/>
                  <w:rFonts w:ascii="Arial" w:hAnsi="Arial" w:cs="Arial"/>
                </w:rPr>
                <w:t>00</w:t>
              </w:r>
              <w:r w:rsidRPr="003E1F66">
                <w:rPr>
                  <w:rStyle w:val="Hyperlink"/>
                  <w:rFonts w:ascii="Arial" w:hAnsi="Arial" w:cs="Arial"/>
                </w:rPr>
                <w:t>8</w:t>
              </w:r>
            </w:hyperlink>
          </w:p>
        </w:tc>
      </w:tr>
      <w:tr w:rsidR="002A162A" w:rsidRPr="00416BC2"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2A162A" w:rsidRPr="00416BC2" w:rsidRDefault="00600E09" w:rsidP="00975117">
            <w:pPr>
              <w:rPr>
                <w:rFonts w:ascii="Arial" w:hAnsi="Arial" w:cs="Arial"/>
              </w:rPr>
            </w:pPr>
            <w:r>
              <w:rPr>
                <w:rFonts w:ascii="Arial" w:hAnsi="Arial" w:cs="Arial"/>
              </w:rPr>
              <w:t>$314,356,000</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2A162A" w:rsidRPr="00B51D1F" w:rsidRDefault="00600E09" w:rsidP="00975117">
            <w:pPr>
              <w:rPr>
                <w:rFonts w:ascii="Arial" w:hAnsi="Arial" w:cs="Arial"/>
              </w:rPr>
            </w:pPr>
            <w:r>
              <w:rPr>
                <w:rFonts w:ascii="Arial" w:hAnsi="Arial" w:cs="Arial"/>
              </w:rPr>
              <w:t>10.05%</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7650" w:type="dxa"/>
          </w:tcPr>
          <w:p w:rsidR="002A162A" w:rsidRPr="00B51D1F" w:rsidRDefault="006A20C9" w:rsidP="00975117">
            <w:pPr>
              <w:rPr>
                <w:rFonts w:ascii="Arial" w:hAnsi="Arial" w:cs="Arial"/>
              </w:rPr>
            </w:pPr>
            <w:r w:rsidRPr="006A20C9">
              <w:rPr>
                <w:rFonts w:ascii="Arial" w:hAnsi="Arial" w:cs="Arial"/>
              </w:rPr>
              <w:t xml:space="preserve">Consumer Federation of California, Sierra Club, Union of Concerned Scientists, Calpine Corporation, City of Long Beach Gas &amp; Oil Department, Protect Our Communities Foundation, The Utility Reform Network, Utility Consumers' Action Network, Indicated Shippers, Coalition of California Utility Employees, Small Business Utility Advocates, Southern California Generation Coalition, </w:t>
            </w:r>
            <w:r w:rsidRPr="006A20C9">
              <w:rPr>
                <w:rFonts w:ascii="Arial" w:hAnsi="Arial" w:cs="Arial"/>
              </w:rPr>
              <w:tab/>
              <w:t>City of Lancaster, National Diversity Coalition, and National Asian American Coalition</w:t>
            </w:r>
          </w:p>
        </w:tc>
      </w:tr>
      <w:tr w:rsidR="002A162A" w:rsidRPr="00B51D1F" w:rsidTr="00975117">
        <w:trPr>
          <w:trHeight w:val="263"/>
        </w:trPr>
        <w:tc>
          <w:tcPr>
            <w:tcW w:w="9895" w:type="dxa"/>
            <w:gridSpan w:val="2"/>
            <w:shd w:val="clear" w:color="auto" w:fill="1F4E79" w:themeFill="accent1" w:themeFillShade="80"/>
          </w:tcPr>
          <w:p w:rsidR="002A162A" w:rsidRPr="00B51D1F" w:rsidRDefault="002A162A" w:rsidP="0097511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2A162A" w:rsidRPr="00B51D1F" w:rsidTr="00975117">
        <w:trPr>
          <w:trHeight w:val="263"/>
        </w:trPr>
        <w:tc>
          <w:tcPr>
            <w:tcW w:w="9895" w:type="dxa"/>
            <w:gridSpan w:val="2"/>
            <w:shd w:val="clear" w:color="auto" w:fill="FFFFFF" w:themeFill="background1"/>
          </w:tcPr>
          <w:p w:rsidR="002A162A" w:rsidRDefault="00600E09" w:rsidP="00975117">
            <w:pPr>
              <w:tabs>
                <w:tab w:val="left" w:pos="240"/>
                <w:tab w:val="center" w:pos="4839"/>
              </w:tabs>
              <w:rPr>
                <w:rFonts w:ascii="Arial" w:hAnsi="Arial" w:cs="Arial"/>
              </w:rPr>
            </w:pPr>
            <w:r w:rsidRPr="00600E09">
              <w:rPr>
                <w:rFonts w:ascii="Arial" w:hAnsi="Arial" w:cs="Arial"/>
              </w:rPr>
              <w:t>The California Public Utilities Commission voted Sept. 26 to authorize a combined electric and gas rate increase of $422 million in 2019 for San Diego Gas &amp; Electric Co. and Southern California Gas Co., both subsidiaries of Sempra Energy.</w:t>
            </w:r>
          </w:p>
          <w:p w:rsidR="00600E09" w:rsidRDefault="00600E09" w:rsidP="00975117">
            <w:pPr>
              <w:tabs>
                <w:tab w:val="left" w:pos="240"/>
                <w:tab w:val="center" w:pos="4839"/>
              </w:tabs>
              <w:rPr>
                <w:rFonts w:ascii="Arial" w:hAnsi="Arial" w:cs="Arial"/>
              </w:rPr>
            </w:pPr>
          </w:p>
          <w:p w:rsidR="00600E09" w:rsidRDefault="00600E09" w:rsidP="00975117">
            <w:pPr>
              <w:tabs>
                <w:tab w:val="left" w:pos="240"/>
                <w:tab w:val="center" w:pos="4839"/>
              </w:tabs>
              <w:rPr>
                <w:rFonts w:ascii="Arial" w:hAnsi="Arial" w:cs="Arial"/>
              </w:rPr>
            </w:pPr>
            <w:r w:rsidRPr="00600E09">
              <w:rPr>
                <w:rFonts w:ascii="Arial" w:hAnsi="Arial" w:cs="Arial"/>
              </w:rPr>
              <w:t>The PUC authorized SoCalGas a $314.4 million increase in gas base rates effective beginning Jan. 1, 2019.</w:t>
            </w:r>
          </w:p>
          <w:p w:rsidR="00600E09" w:rsidRDefault="00600E09" w:rsidP="00975117">
            <w:pPr>
              <w:tabs>
                <w:tab w:val="left" w:pos="240"/>
                <w:tab w:val="center" w:pos="4839"/>
              </w:tabs>
              <w:rPr>
                <w:rFonts w:ascii="Arial" w:hAnsi="Arial" w:cs="Arial"/>
              </w:rPr>
            </w:pPr>
          </w:p>
          <w:p w:rsidR="00600E09" w:rsidRDefault="00600E09" w:rsidP="00975117">
            <w:pPr>
              <w:tabs>
                <w:tab w:val="left" w:pos="240"/>
                <w:tab w:val="center" w:pos="4839"/>
              </w:tabs>
              <w:rPr>
                <w:rFonts w:ascii="Arial" w:hAnsi="Arial" w:cs="Arial"/>
              </w:rPr>
            </w:pPr>
            <w:r w:rsidRPr="00600E09">
              <w:rPr>
                <w:rFonts w:ascii="Arial" w:hAnsi="Arial" w:cs="Arial"/>
              </w:rPr>
              <w:t>For SoCalGas, the decision also authorizes post-test-year revenue increases of $219.5 million for 2020 (a 7.92% increase) and $149.6 million for 2021 (a 5% increase). The decision denied the utilities a third PTY revenue adjustment for 2022; however, the commission is considering a third PTY adjustment for all large investor-owned utilities under a separate proceeding.</w:t>
            </w:r>
          </w:p>
          <w:p w:rsidR="006A20C9" w:rsidRDefault="006A20C9" w:rsidP="00975117">
            <w:pPr>
              <w:tabs>
                <w:tab w:val="left" w:pos="240"/>
                <w:tab w:val="center" w:pos="4839"/>
              </w:tabs>
              <w:rPr>
                <w:rFonts w:ascii="Arial" w:hAnsi="Arial" w:cs="Arial"/>
              </w:rPr>
            </w:pPr>
          </w:p>
          <w:p w:rsidR="006A20C9" w:rsidRDefault="006A20C9" w:rsidP="00975117">
            <w:pPr>
              <w:tabs>
                <w:tab w:val="left" w:pos="240"/>
                <w:tab w:val="center" w:pos="4839"/>
              </w:tabs>
              <w:rPr>
                <w:rFonts w:ascii="Arial" w:hAnsi="Arial" w:cs="Arial"/>
              </w:rPr>
            </w:pPr>
            <w:r w:rsidRPr="00600E09">
              <w:rPr>
                <w:rFonts w:ascii="Arial" w:hAnsi="Arial" w:cs="Arial"/>
              </w:rPr>
              <w:t>Cost of capital was not an issue in this proceeding, as it is determined in a separate automatic adjustment mechanism.</w:t>
            </w:r>
            <w:r>
              <w:rPr>
                <w:rFonts w:ascii="Arial" w:hAnsi="Arial" w:cs="Arial"/>
              </w:rPr>
              <w:t xml:space="preserve"> SoCal Gas </w:t>
            </w:r>
            <w:r w:rsidRPr="006A20C9">
              <w:rPr>
                <w:rFonts w:ascii="Arial" w:hAnsi="Arial" w:cs="Arial"/>
              </w:rPr>
              <w:t>is currently authorized a 10.05% ROE.</w:t>
            </w:r>
          </w:p>
          <w:p w:rsidR="00600E09" w:rsidRDefault="00600E09" w:rsidP="00975117">
            <w:pPr>
              <w:tabs>
                <w:tab w:val="left" w:pos="240"/>
                <w:tab w:val="center" w:pos="4839"/>
              </w:tabs>
              <w:rPr>
                <w:rFonts w:ascii="Arial" w:hAnsi="Arial" w:cs="Arial"/>
              </w:rPr>
            </w:pPr>
          </w:p>
          <w:p w:rsidR="00600E09" w:rsidRDefault="00600E09" w:rsidP="00975117">
            <w:pPr>
              <w:tabs>
                <w:tab w:val="left" w:pos="240"/>
                <w:tab w:val="center" w:pos="4839"/>
              </w:tabs>
              <w:rPr>
                <w:rFonts w:ascii="Arial" w:hAnsi="Arial" w:cs="Arial"/>
              </w:rPr>
            </w:pPr>
            <w:r w:rsidRPr="00600E09">
              <w:rPr>
                <w:rFonts w:ascii="Arial" w:hAnsi="Arial" w:cs="Arial"/>
              </w:rPr>
              <w:t>A large part of the revenue requirement increases represent costs for incremental safety-related programs and activities that are being added to the rate case for the first time as a result of the PUC's Risk Assessment Mitigation Phase, which requires SDG&amp;E and SoCalGas to identify key safety risks and to propose programs to mitigate them.</w:t>
            </w:r>
          </w:p>
          <w:p w:rsidR="002A162A" w:rsidRPr="00B51D1F" w:rsidRDefault="002A162A" w:rsidP="00975117">
            <w:pPr>
              <w:tabs>
                <w:tab w:val="left" w:pos="240"/>
                <w:tab w:val="center" w:pos="4839"/>
              </w:tabs>
              <w:rPr>
                <w:rFonts w:ascii="Arial" w:hAnsi="Arial" w:cs="Arial"/>
              </w:rPr>
            </w:pPr>
          </w:p>
        </w:tc>
      </w:tr>
      <w:tr w:rsidR="002A162A" w:rsidRPr="000602A6" w:rsidTr="00975117">
        <w:trPr>
          <w:trHeight w:val="279"/>
        </w:trPr>
        <w:tc>
          <w:tcPr>
            <w:tcW w:w="9895" w:type="dxa"/>
            <w:gridSpan w:val="2"/>
            <w:shd w:val="clear" w:color="auto" w:fill="1F4E79" w:themeFill="accent1" w:themeFillShade="80"/>
          </w:tcPr>
          <w:p w:rsidR="002A162A" w:rsidRPr="000602A6" w:rsidRDefault="002A162A" w:rsidP="00975117">
            <w:pPr>
              <w:jc w:val="center"/>
              <w:rPr>
                <w:rFonts w:ascii="Arial" w:hAnsi="Arial" w:cs="Arial"/>
                <w:b/>
                <w:color w:val="FFFFFF" w:themeColor="background1"/>
              </w:rPr>
            </w:pPr>
            <w:r>
              <w:rPr>
                <w:rFonts w:ascii="Arial" w:hAnsi="Arial" w:cs="Arial"/>
                <w:b/>
                <w:color w:val="FFFFFF" w:themeColor="background1"/>
              </w:rPr>
              <w:t>September 26, 2019</w:t>
            </w:r>
          </w:p>
        </w:tc>
      </w:tr>
      <w:tr w:rsidR="002A162A" w:rsidRPr="000602A6"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2A162A" w:rsidRPr="000602A6" w:rsidRDefault="002A162A" w:rsidP="00975117">
            <w:pPr>
              <w:rPr>
                <w:rFonts w:ascii="Arial" w:hAnsi="Arial" w:cs="Arial"/>
              </w:rPr>
            </w:pPr>
            <w:r>
              <w:rPr>
                <w:rFonts w:ascii="Arial" w:hAnsi="Arial" w:cs="Arial"/>
              </w:rPr>
              <w:t>Consumers Energy Co.</w:t>
            </w:r>
          </w:p>
        </w:tc>
      </w:tr>
      <w:tr w:rsidR="002A162A" w:rsidRPr="00B51D1F"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rsidR="002A162A" w:rsidRPr="00B51D1F" w:rsidRDefault="002A162A" w:rsidP="00975117">
            <w:pPr>
              <w:rPr>
                <w:rFonts w:ascii="Arial" w:hAnsi="Arial" w:cs="Arial"/>
              </w:rPr>
            </w:pPr>
            <w:r>
              <w:rPr>
                <w:rFonts w:ascii="Arial" w:hAnsi="Arial" w:cs="Arial"/>
              </w:rPr>
              <w:t>Michigan</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2A162A" w:rsidRPr="00B51D1F" w:rsidRDefault="006A20C9" w:rsidP="00975117">
            <w:pPr>
              <w:rPr>
                <w:rFonts w:ascii="Arial" w:hAnsi="Arial" w:cs="Arial"/>
                <w:color w:val="0000FF"/>
                <w:u w:val="single"/>
              </w:rPr>
            </w:pPr>
            <w:hyperlink r:id="rId20" w:history="1">
              <w:r w:rsidRPr="006A20C9">
                <w:rPr>
                  <w:rStyle w:val="Hyperlink"/>
                  <w:rFonts w:ascii="Arial" w:hAnsi="Arial" w:cs="Arial"/>
                </w:rPr>
                <w:t>C-U-20322</w:t>
              </w:r>
            </w:hyperlink>
          </w:p>
        </w:tc>
      </w:tr>
      <w:tr w:rsidR="002A162A" w:rsidRPr="00416BC2" w:rsidTr="00975117">
        <w:trPr>
          <w:trHeight w:val="279"/>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2A162A" w:rsidRPr="006A20C9" w:rsidRDefault="006A20C9" w:rsidP="006A20C9">
            <w:pPr>
              <w:rPr>
                <w:rFonts w:ascii="Arial" w:hAnsi="Arial" w:cs="Arial"/>
              </w:rPr>
            </w:pPr>
            <w:r w:rsidRPr="006A20C9">
              <w:rPr>
                <w:rFonts w:ascii="Arial" w:hAnsi="Arial" w:cs="Arial"/>
              </w:rPr>
              <w:t>$143,531,000</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2A162A" w:rsidRPr="00B51D1F" w:rsidRDefault="006A20C9" w:rsidP="00975117">
            <w:pPr>
              <w:rPr>
                <w:rFonts w:ascii="Arial" w:hAnsi="Arial" w:cs="Arial"/>
              </w:rPr>
            </w:pPr>
            <w:r>
              <w:rPr>
                <w:rFonts w:ascii="Arial" w:hAnsi="Arial" w:cs="Arial"/>
              </w:rPr>
              <w:t>9.9%</w:t>
            </w:r>
          </w:p>
        </w:tc>
      </w:tr>
      <w:tr w:rsidR="002A162A" w:rsidRPr="00B51D1F" w:rsidTr="00975117">
        <w:trPr>
          <w:trHeight w:val="263"/>
        </w:trPr>
        <w:tc>
          <w:tcPr>
            <w:tcW w:w="2245" w:type="dxa"/>
            <w:shd w:val="clear" w:color="auto" w:fill="1F4E79" w:themeFill="accent1" w:themeFillShade="80"/>
          </w:tcPr>
          <w:p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7650" w:type="dxa"/>
          </w:tcPr>
          <w:p w:rsidR="002A162A" w:rsidRPr="00B51D1F" w:rsidRDefault="006A20C9" w:rsidP="00975117">
            <w:pPr>
              <w:rPr>
                <w:rFonts w:ascii="Arial" w:hAnsi="Arial" w:cs="Arial"/>
              </w:rPr>
            </w:pPr>
            <w:r>
              <w:rPr>
                <w:rFonts w:ascii="Arial" w:hAnsi="Arial" w:cs="Arial"/>
              </w:rPr>
              <w:t xml:space="preserve">Residential Customer Group, Lansing Board of Water &amp; Light, Michigan State University, Michigan Attorney General, </w:t>
            </w:r>
            <w:r w:rsidR="0097000D">
              <w:rPr>
                <w:rFonts w:ascii="Arial" w:hAnsi="Arial" w:cs="Arial"/>
              </w:rPr>
              <w:t xml:space="preserve">Energy Michigan Inc., Retail Energy Supply Association, and </w:t>
            </w:r>
            <w:r w:rsidR="0097000D" w:rsidRPr="0097000D">
              <w:rPr>
                <w:rFonts w:ascii="Arial" w:hAnsi="Arial" w:cs="Arial"/>
              </w:rPr>
              <w:t>Association of Businesses Advocating Tariff Equity</w:t>
            </w:r>
            <w:r w:rsidR="0097000D">
              <w:rPr>
                <w:rFonts w:ascii="Arial" w:hAnsi="Arial" w:cs="Arial"/>
              </w:rPr>
              <w:t xml:space="preserve">. </w:t>
            </w:r>
          </w:p>
        </w:tc>
      </w:tr>
      <w:tr w:rsidR="002A162A" w:rsidRPr="00B51D1F" w:rsidTr="00975117">
        <w:trPr>
          <w:trHeight w:val="263"/>
        </w:trPr>
        <w:tc>
          <w:tcPr>
            <w:tcW w:w="9895" w:type="dxa"/>
            <w:gridSpan w:val="2"/>
            <w:shd w:val="clear" w:color="auto" w:fill="1F4E79" w:themeFill="accent1" w:themeFillShade="80"/>
          </w:tcPr>
          <w:p w:rsidR="002A162A" w:rsidRPr="00B51D1F" w:rsidRDefault="002A162A" w:rsidP="00975117">
            <w:pPr>
              <w:tabs>
                <w:tab w:val="left" w:pos="240"/>
                <w:tab w:val="center" w:pos="4839"/>
              </w:tabs>
              <w:rPr>
                <w:rFonts w:ascii="Arial" w:hAnsi="Arial" w:cs="Arial"/>
                <w:b/>
              </w:rPr>
            </w:pPr>
            <w:r w:rsidRPr="00B51D1F">
              <w:rPr>
                <w:rFonts w:ascii="Arial" w:hAnsi="Arial" w:cs="Arial"/>
              </w:rPr>
              <w:lastRenderedPageBreak/>
              <w:tab/>
            </w:r>
            <w:r w:rsidRPr="00B51D1F">
              <w:rPr>
                <w:rFonts w:ascii="Arial" w:hAnsi="Arial" w:cs="Arial"/>
              </w:rPr>
              <w:tab/>
            </w:r>
            <w:r w:rsidRPr="00B51D1F">
              <w:rPr>
                <w:rFonts w:ascii="Arial" w:hAnsi="Arial" w:cs="Arial"/>
                <w:b/>
                <w:color w:val="FFFFFF" w:themeColor="background1"/>
              </w:rPr>
              <w:t>Case Summary</w:t>
            </w:r>
          </w:p>
        </w:tc>
      </w:tr>
      <w:tr w:rsidR="002A162A" w:rsidRPr="00B51D1F" w:rsidTr="00975117">
        <w:trPr>
          <w:trHeight w:val="263"/>
        </w:trPr>
        <w:tc>
          <w:tcPr>
            <w:tcW w:w="9895" w:type="dxa"/>
            <w:gridSpan w:val="2"/>
            <w:shd w:val="clear" w:color="auto" w:fill="FFFFFF" w:themeFill="background1"/>
          </w:tcPr>
          <w:p w:rsidR="0097000D" w:rsidRDefault="00F51ABC" w:rsidP="002A162A">
            <w:pPr>
              <w:tabs>
                <w:tab w:val="left" w:pos="240"/>
                <w:tab w:val="center" w:pos="4839"/>
              </w:tabs>
              <w:rPr>
                <w:rFonts w:ascii="Arial" w:hAnsi="Arial" w:cs="Arial"/>
              </w:rPr>
            </w:pPr>
            <w:r w:rsidRPr="00F51ABC">
              <w:rPr>
                <w:rFonts w:ascii="Arial" w:hAnsi="Arial" w:cs="Arial"/>
              </w:rPr>
              <w:t>On Sept. 26, 2019, the PSC authorized C</w:t>
            </w:r>
            <w:r>
              <w:rPr>
                <w:rFonts w:ascii="Arial" w:hAnsi="Arial" w:cs="Arial"/>
              </w:rPr>
              <w:t>itizens Energy</w:t>
            </w:r>
            <w:r w:rsidRPr="00F51ABC">
              <w:rPr>
                <w:rFonts w:ascii="Arial" w:hAnsi="Arial" w:cs="Arial"/>
              </w:rPr>
              <w:t xml:space="preserve"> a $143.5 million rate increase effective Oct. 1, 2019, premised upon a 9.90% return on equity (41.78% of a regulatory capital structure) and a 5.84% return on a rate base valued at $6.429 billion and a test year ending Sept. 30, 2020.</w:t>
            </w:r>
          </w:p>
          <w:p w:rsidR="00F51ABC" w:rsidRDefault="00F51ABC" w:rsidP="002A162A">
            <w:pPr>
              <w:tabs>
                <w:tab w:val="left" w:pos="240"/>
                <w:tab w:val="center" w:pos="4839"/>
              </w:tabs>
              <w:rPr>
                <w:rFonts w:ascii="Arial" w:hAnsi="Arial" w:cs="Arial"/>
              </w:rPr>
            </w:pPr>
          </w:p>
          <w:p w:rsidR="0097000D" w:rsidRDefault="0097000D" w:rsidP="0097000D">
            <w:pPr>
              <w:tabs>
                <w:tab w:val="left" w:pos="240"/>
                <w:tab w:val="center" w:pos="4839"/>
              </w:tabs>
              <w:rPr>
                <w:rFonts w:ascii="Arial" w:hAnsi="Arial" w:cs="Arial"/>
              </w:rPr>
            </w:pPr>
            <w:r w:rsidRPr="0097000D">
              <w:rPr>
                <w:rFonts w:ascii="Arial" w:hAnsi="Arial" w:cs="Arial"/>
              </w:rPr>
              <w:t>While the PSC made several adjustments to net operating income, these</w:t>
            </w:r>
            <w:r>
              <w:rPr>
                <w:rFonts w:ascii="Arial" w:hAnsi="Arial" w:cs="Arial"/>
              </w:rPr>
              <w:t xml:space="preserve"> </w:t>
            </w:r>
            <w:r w:rsidRPr="0097000D">
              <w:rPr>
                <w:rFonts w:ascii="Arial" w:hAnsi="Arial" w:cs="Arial"/>
              </w:rPr>
              <w:t>adjustment</w:t>
            </w:r>
            <w:r w:rsidR="00F51ABC">
              <w:rPr>
                <w:rFonts w:ascii="Arial" w:hAnsi="Arial" w:cs="Arial"/>
              </w:rPr>
              <w:t>s</w:t>
            </w:r>
            <w:r w:rsidRPr="0097000D">
              <w:rPr>
                <w:rFonts w:ascii="Arial" w:hAnsi="Arial" w:cs="Arial"/>
              </w:rPr>
              <w:t xml:space="preserve"> do not appear to inhibit CE from earning its authorized return.</w:t>
            </w:r>
          </w:p>
          <w:p w:rsidR="00303AE0" w:rsidRDefault="00303AE0" w:rsidP="0097000D">
            <w:pPr>
              <w:tabs>
                <w:tab w:val="left" w:pos="240"/>
                <w:tab w:val="center" w:pos="4839"/>
              </w:tabs>
              <w:rPr>
                <w:rFonts w:ascii="Arial" w:hAnsi="Arial" w:cs="Arial"/>
              </w:rPr>
            </w:pPr>
            <w:bookmarkStart w:id="0" w:name="_GoBack"/>
            <w:bookmarkEnd w:id="0"/>
          </w:p>
          <w:p w:rsidR="00F51ABC" w:rsidRDefault="00F51ABC" w:rsidP="0097000D">
            <w:pPr>
              <w:tabs>
                <w:tab w:val="left" w:pos="240"/>
                <w:tab w:val="center" w:pos="4839"/>
              </w:tabs>
              <w:rPr>
                <w:rFonts w:ascii="Arial" w:hAnsi="Arial" w:cs="Arial"/>
              </w:rPr>
            </w:pPr>
            <w:r w:rsidRPr="00F51ABC">
              <w:rPr>
                <w:rFonts w:ascii="Arial" w:hAnsi="Arial" w:cs="Arial"/>
              </w:rPr>
              <w:t>The PSC adopted a modestly lower equity ratio, finding that an equity ratio that is unnecessarily equity-heavy burdens ratepayers because equity capital is more expensive than debt capital and carries with it the additional expense of a tax burden that is not present with debt capital.</w:t>
            </w:r>
          </w:p>
          <w:p w:rsidR="00F51ABC" w:rsidRDefault="00F51ABC" w:rsidP="0097000D">
            <w:pPr>
              <w:tabs>
                <w:tab w:val="left" w:pos="240"/>
                <w:tab w:val="center" w:pos="4839"/>
              </w:tabs>
              <w:rPr>
                <w:rFonts w:ascii="Arial" w:hAnsi="Arial" w:cs="Arial"/>
              </w:rPr>
            </w:pPr>
          </w:p>
          <w:p w:rsidR="00F51ABC" w:rsidRDefault="00F51ABC" w:rsidP="0097000D">
            <w:pPr>
              <w:tabs>
                <w:tab w:val="left" w:pos="240"/>
                <w:tab w:val="center" w:pos="4839"/>
              </w:tabs>
              <w:rPr>
                <w:rFonts w:ascii="Arial" w:hAnsi="Arial" w:cs="Arial"/>
              </w:rPr>
            </w:pPr>
            <w:r w:rsidRPr="00F51ABC">
              <w:rPr>
                <w:rFonts w:ascii="Arial" w:hAnsi="Arial" w:cs="Arial"/>
              </w:rPr>
              <w:t>PSC adjustments to rate base reduced the revenue requirement by about $6 million. The major adjustment appears to be related to CE’s capital expenditures associated with a new business program with a group of three new agri-business customers in St. Johns, Mich. The commission also disallowed capital expenditures associated with the company’s pipeline integrity transmission work.</w:t>
            </w:r>
          </w:p>
          <w:p w:rsidR="00F51ABC" w:rsidRDefault="00F51ABC" w:rsidP="0097000D">
            <w:pPr>
              <w:tabs>
                <w:tab w:val="left" w:pos="240"/>
                <w:tab w:val="center" w:pos="4839"/>
              </w:tabs>
              <w:rPr>
                <w:rFonts w:ascii="Arial" w:hAnsi="Arial" w:cs="Arial"/>
              </w:rPr>
            </w:pPr>
          </w:p>
          <w:p w:rsidR="00F51ABC" w:rsidRDefault="00F51ABC" w:rsidP="0097000D">
            <w:pPr>
              <w:tabs>
                <w:tab w:val="left" w:pos="240"/>
                <w:tab w:val="center" w:pos="4839"/>
              </w:tabs>
              <w:rPr>
                <w:rFonts w:ascii="Arial" w:hAnsi="Arial" w:cs="Arial"/>
              </w:rPr>
            </w:pPr>
            <w:r w:rsidRPr="00F51ABC">
              <w:rPr>
                <w:rFonts w:ascii="Arial" w:hAnsi="Arial" w:cs="Arial"/>
              </w:rPr>
              <w:t>In addition, the PSC disallowed costs related to CE’s Vintage Service Replacements Program, which targets the replacement of vintage service lines, such as copper and bare steel lines that do not have active leaks and are not otherwise associated with a planned main replacement project under some other program. The company is expected to remove all remaining vintage service lines by 2036.</w:t>
            </w:r>
          </w:p>
          <w:p w:rsidR="0097000D" w:rsidRDefault="0097000D" w:rsidP="0097000D">
            <w:pPr>
              <w:tabs>
                <w:tab w:val="left" w:pos="240"/>
                <w:tab w:val="center" w:pos="4839"/>
              </w:tabs>
              <w:rPr>
                <w:rFonts w:ascii="Arial" w:hAnsi="Arial" w:cs="Arial"/>
              </w:rPr>
            </w:pPr>
          </w:p>
          <w:p w:rsidR="00F51ABC" w:rsidRDefault="00F51ABC" w:rsidP="0097000D">
            <w:pPr>
              <w:tabs>
                <w:tab w:val="left" w:pos="240"/>
                <w:tab w:val="center" w:pos="4839"/>
              </w:tabs>
              <w:rPr>
                <w:rFonts w:ascii="Arial" w:hAnsi="Arial" w:cs="Arial"/>
              </w:rPr>
            </w:pPr>
            <w:r>
              <w:rPr>
                <w:rFonts w:ascii="Arial" w:hAnsi="Arial" w:cs="Arial"/>
              </w:rPr>
              <w:t xml:space="preserve">In its filing, </w:t>
            </w:r>
            <w:r w:rsidRPr="00F51ABC">
              <w:rPr>
                <w:rFonts w:ascii="Arial" w:hAnsi="Arial" w:cs="Arial"/>
              </w:rPr>
              <w:t>CE proposed to continue to utilize a revenue decoupling mechanism and sought to continue to utilize an investment recovery mechanism to recover annual revenue requirements associated with incremental capital expenditures and associated direct expenses for specified distribution and transmission programs beyond the level provided in rates through the projected test year. Both mechanisms were approved in the company’s previous base rate cases. The company withdrew its request for an investment recovery mechanism in its rebuttal testimony after concerns were raised by the PSC staff and attorney general.</w:t>
            </w:r>
          </w:p>
          <w:p w:rsidR="00F51ABC" w:rsidRDefault="00F51ABC" w:rsidP="0097000D">
            <w:pPr>
              <w:tabs>
                <w:tab w:val="left" w:pos="240"/>
                <w:tab w:val="center" w:pos="4839"/>
              </w:tabs>
              <w:rPr>
                <w:rFonts w:ascii="Arial" w:hAnsi="Arial" w:cs="Arial"/>
              </w:rPr>
            </w:pPr>
          </w:p>
          <w:p w:rsidR="0097000D" w:rsidRPr="00B51D1F" w:rsidRDefault="0097000D" w:rsidP="0097000D">
            <w:pPr>
              <w:tabs>
                <w:tab w:val="left" w:pos="240"/>
                <w:tab w:val="center" w:pos="4839"/>
              </w:tabs>
              <w:rPr>
                <w:rFonts w:ascii="Arial" w:hAnsi="Arial" w:cs="Arial"/>
              </w:rPr>
            </w:pPr>
            <w:r w:rsidRPr="0097000D">
              <w:rPr>
                <w:rFonts w:ascii="Arial" w:hAnsi="Arial" w:cs="Arial"/>
              </w:rPr>
              <w:t xml:space="preserve">The commission authorized the continuation of </w:t>
            </w:r>
            <w:r w:rsidR="00F51ABC">
              <w:rPr>
                <w:rFonts w:ascii="Arial" w:hAnsi="Arial" w:cs="Arial"/>
              </w:rPr>
              <w:t>the</w:t>
            </w:r>
            <w:r w:rsidRPr="0097000D">
              <w:rPr>
                <w:rFonts w:ascii="Arial" w:hAnsi="Arial" w:cs="Arial"/>
              </w:rPr>
              <w:t xml:space="preserve"> revenue decoupling</w:t>
            </w:r>
            <w:r>
              <w:rPr>
                <w:rFonts w:ascii="Arial" w:hAnsi="Arial" w:cs="Arial"/>
              </w:rPr>
              <w:t xml:space="preserve"> </w:t>
            </w:r>
            <w:r w:rsidRPr="0097000D">
              <w:rPr>
                <w:rFonts w:ascii="Arial" w:hAnsi="Arial" w:cs="Arial"/>
              </w:rPr>
              <w:t>mechanism, which reduces the company’s business risk going forward and</w:t>
            </w:r>
            <w:r>
              <w:rPr>
                <w:rFonts w:ascii="Arial" w:hAnsi="Arial" w:cs="Arial"/>
              </w:rPr>
              <w:t xml:space="preserve"> </w:t>
            </w:r>
            <w:r w:rsidRPr="0097000D">
              <w:rPr>
                <w:rFonts w:ascii="Arial" w:hAnsi="Arial" w:cs="Arial"/>
              </w:rPr>
              <w:t>gives the company a better opportunity to earn its authorized return. The</w:t>
            </w:r>
            <w:r>
              <w:rPr>
                <w:rFonts w:ascii="Arial" w:hAnsi="Arial" w:cs="Arial"/>
              </w:rPr>
              <w:t xml:space="preserve"> </w:t>
            </w:r>
            <w:r w:rsidRPr="0097000D">
              <w:rPr>
                <w:rFonts w:ascii="Arial" w:hAnsi="Arial" w:cs="Arial"/>
              </w:rPr>
              <w:t xml:space="preserve">commission also rejected </w:t>
            </w:r>
            <w:proofErr w:type="gramStart"/>
            <w:r w:rsidRPr="0097000D">
              <w:rPr>
                <w:rFonts w:ascii="Arial" w:hAnsi="Arial" w:cs="Arial"/>
              </w:rPr>
              <w:t>an earnings</w:t>
            </w:r>
            <w:proofErr w:type="gramEnd"/>
            <w:r w:rsidRPr="0097000D">
              <w:rPr>
                <w:rFonts w:ascii="Arial" w:hAnsi="Arial" w:cs="Arial"/>
              </w:rPr>
              <w:t xml:space="preserve"> sharing mechanism proposed by one of</w:t>
            </w:r>
            <w:r>
              <w:rPr>
                <w:rFonts w:ascii="Arial" w:hAnsi="Arial" w:cs="Arial"/>
              </w:rPr>
              <w:t xml:space="preserve"> </w:t>
            </w:r>
            <w:r w:rsidRPr="0097000D">
              <w:rPr>
                <w:rFonts w:ascii="Arial" w:hAnsi="Arial" w:cs="Arial"/>
              </w:rPr>
              <w:t>the case intervenors.</w:t>
            </w:r>
          </w:p>
        </w:tc>
      </w:tr>
    </w:tbl>
    <w:p w:rsidR="002A162A" w:rsidRDefault="002A162A" w:rsidP="009965F4">
      <w:pPr>
        <w:rPr>
          <w:rFonts w:ascii="Arial" w:hAnsi="Arial" w:cs="Arial"/>
          <w:i/>
          <w:iCs/>
          <w:color w:val="000000"/>
          <w:sz w:val="18"/>
          <w:szCs w:val="18"/>
        </w:rPr>
      </w:pPr>
    </w:p>
    <w:p w:rsidR="00DB1A39" w:rsidRPr="00B51D1F" w:rsidRDefault="00DB1A39" w:rsidP="009965F4">
      <w:pPr>
        <w:rPr>
          <w:rFonts w:ascii="Arial" w:hAnsi="Arial" w:cs="Arial"/>
        </w:rPr>
      </w:pPr>
      <w:r w:rsidRPr="00B51D1F">
        <w:rPr>
          <w:rFonts w:ascii="Arial" w:hAnsi="Arial" w:cs="Arial"/>
          <w:i/>
          <w:iCs/>
          <w:color w:val="000000"/>
          <w:sz w:val="18"/>
          <w:szCs w:val="18"/>
        </w:rPr>
        <w:t>This document has been prepared by the American Gas Association for members. In issuing and making this publication available, AGA is not undertaking to render professional or other services for or on behalf of any person or entity. Nor is AGA undertaking to perform any duty owed by any person or entity to someone else. The statements in this publication are for general information only and it does not provide a legal opinion or legal advice for any purpose. Information on the topics covered by this publication may be available from other sources, which the user may wish to consult for additional views or information not covered by this publication. © Copyright 201</w:t>
      </w:r>
      <w:r w:rsidR="00963890">
        <w:rPr>
          <w:rFonts w:ascii="Arial" w:hAnsi="Arial" w:cs="Arial"/>
          <w:i/>
          <w:iCs/>
          <w:color w:val="000000"/>
          <w:sz w:val="18"/>
          <w:szCs w:val="18"/>
        </w:rPr>
        <w:t>9</w:t>
      </w:r>
      <w:r w:rsidR="00CC364C" w:rsidRPr="00B51D1F">
        <w:rPr>
          <w:rFonts w:ascii="Arial" w:hAnsi="Arial" w:cs="Arial"/>
          <w:i/>
          <w:iCs/>
          <w:color w:val="000000"/>
          <w:sz w:val="18"/>
          <w:szCs w:val="18"/>
        </w:rPr>
        <w:t xml:space="preserve"> </w:t>
      </w:r>
      <w:r w:rsidRPr="00B51D1F">
        <w:rPr>
          <w:rFonts w:ascii="Arial" w:hAnsi="Arial" w:cs="Arial"/>
          <w:i/>
          <w:iCs/>
          <w:color w:val="000000"/>
          <w:sz w:val="18"/>
          <w:szCs w:val="18"/>
        </w:rPr>
        <w:t xml:space="preserve">American Gas Association. All Rights Reserved. </w:t>
      </w:r>
      <w:hyperlink r:id="rId21" w:history="1">
        <w:r w:rsidRPr="00B51D1F">
          <w:rPr>
            <w:rStyle w:val="Hyperlink"/>
            <w:rFonts w:ascii="Arial" w:hAnsi="Arial" w:cs="Arial"/>
            <w:i/>
            <w:iCs/>
            <w:sz w:val="18"/>
            <w:szCs w:val="18"/>
          </w:rPr>
          <w:t>www.aga.org</w:t>
        </w:r>
      </w:hyperlink>
    </w:p>
    <w:sectPr w:rsidR="00DB1A39" w:rsidRPr="00B51D1F">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117" w:rsidRDefault="00975117" w:rsidP="00DE7014">
      <w:pPr>
        <w:spacing w:after="0" w:line="240" w:lineRule="auto"/>
      </w:pPr>
      <w:r>
        <w:separator/>
      </w:r>
    </w:p>
  </w:endnote>
  <w:endnote w:type="continuationSeparator" w:id="0">
    <w:p w:rsidR="00975117" w:rsidRDefault="00975117" w:rsidP="00DE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937707"/>
      <w:docPartObj>
        <w:docPartGallery w:val="Page Numbers (Bottom of Page)"/>
        <w:docPartUnique/>
      </w:docPartObj>
    </w:sdtPr>
    <w:sdtEndPr>
      <w:rPr>
        <w:noProof/>
      </w:rPr>
    </w:sdtEndPr>
    <w:sdtContent>
      <w:p w:rsidR="00975117" w:rsidRDefault="00975117">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975117" w:rsidRDefault="00975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117" w:rsidRDefault="00975117" w:rsidP="00DE7014">
      <w:pPr>
        <w:spacing w:after="0" w:line="240" w:lineRule="auto"/>
      </w:pPr>
      <w:r>
        <w:separator/>
      </w:r>
    </w:p>
  </w:footnote>
  <w:footnote w:type="continuationSeparator" w:id="0">
    <w:p w:rsidR="00975117" w:rsidRDefault="00975117" w:rsidP="00DE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117" w:rsidRDefault="00975117">
    <w:pPr>
      <w:pStyle w:val="Header"/>
    </w:pPr>
    <w:r>
      <w:rPr>
        <w:noProof/>
      </w:rPr>
      <mc:AlternateContent>
        <mc:Choice Requires="wps">
          <w:drawing>
            <wp:anchor distT="0" distB="0" distL="114300" distR="114300" simplePos="0" relativeHeight="251661312" behindDoc="0" locked="0" layoutInCell="1" allowOverlap="1" wp14:anchorId="5CAE5A8C" wp14:editId="383095F6">
              <wp:simplePos x="0" y="0"/>
              <wp:positionH relativeFrom="column">
                <wp:posOffset>-533400</wp:posOffset>
              </wp:positionH>
              <wp:positionV relativeFrom="paragraph">
                <wp:posOffset>0</wp:posOffset>
              </wp:positionV>
              <wp:extent cx="6858000" cy="8667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8667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975117" w:rsidRPr="006C3E85" w:rsidRDefault="0097000D" w:rsidP="006C3E85">
                          <w:pPr>
                            <w:rPr>
                              <w:rFonts w:ascii="Arial" w:hAnsi="Arial"/>
                              <w:b/>
                              <w:color w:val="FFFFFF" w:themeColor="background1"/>
                              <w:sz w:val="20"/>
                              <w:szCs w:val="20"/>
                            </w:rPr>
                          </w:pPr>
                          <w:r>
                            <w:rPr>
                              <w:rFonts w:ascii="Arial" w:hAnsi="Arial"/>
                              <w:b/>
                              <w:color w:val="FFFFFF" w:themeColor="background1"/>
                              <w:sz w:val="20"/>
                              <w:szCs w:val="20"/>
                            </w:rPr>
                            <w:t xml:space="preserve">July </w:t>
                          </w:r>
                          <w:r w:rsidR="00975117">
                            <w:rPr>
                              <w:rFonts w:ascii="Arial" w:hAnsi="Arial"/>
                              <w:b/>
                              <w:color w:val="FFFFFF" w:themeColor="background1"/>
                              <w:sz w:val="20"/>
                              <w:szCs w:val="20"/>
                            </w:rPr>
                            <w:t>1 through</w:t>
                          </w:r>
                          <w:r>
                            <w:rPr>
                              <w:rFonts w:ascii="Arial" w:hAnsi="Arial"/>
                              <w:b/>
                              <w:color w:val="FFFFFF" w:themeColor="background1"/>
                              <w:sz w:val="20"/>
                              <w:szCs w:val="20"/>
                            </w:rPr>
                            <w:t xml:space="preserve"> September</w:t>
                          </w:r>
                          <w:r w:rsidR="00975117">
                            <w:rPr>
                              <w:rFonts w:ascii="Arial" w:hAnsi="Arial"/>
                              <w:b/>
                              <w:color w:val="FFFFFF" w:themeColor="background1"/>
                              <w:sz w:val="20"/>
                              <w:szCs w:val="20"/>
                            </w:rPr>
                            <w:t xml:space="preserve"> 30, 2019</w:t>
                          </w:r>
                        </w:p>
                        <w:p w:rsidR="00975117" w:rsidRPr="004D11A5" w:rsidRDefault="00975117" w:rsidP="006C3E85">
                          <w:pPr>
                            <w:rPr>
                              <w:rFonts w:ascii="Arial" w:hAnsi="Arial"/>
                              <w:b/>
                              <w:color w:val="A7D036"/>
                              <w:sz w:val="56"/>
                              <w:szCs w:val="56"/>
                            </w:rPr>
                          </w:pPr>
                          <w:r>
                            <w:rPr>
                              <w:rFonts w:ascii="Arial" w:hAnsi="Arial"/>
                              <w:b/>
                              <w:color w:val="A7D036"/>
                              <w:sz w:val="56"/>
                              <w:szCs w:val="56"/>
                            </w:rPr>
                            <w:t>Rate &amp; Regulatory Update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E5A8C" id="_x0000_t202" coordsize="21600,21600" o:spt="202" path="m,l,21600r21600,l21600,xe">
              <v:stroke joinstyle="miter"/>
              <v:path gradientshapeok="t" o:connecttype="rect"/>
            </v:shapetype>
            <v:shape id="Text Box 5" o:spid="_x0000_s1026" type="#_x0000_t202" style="position:absolute;margin-left:-42pt;margin-top:0;width:540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" filled="f" stroked="f">
              <v:textbox>
                <w:txbxContent>
                  <w:p w:rsidR="00975117" w:rsidRPr="006C3E85" w:rsidRDefault="0097000D" w:rsidP="006C3E85">
                    <w:pPr>
                      <w:rPr>
                        <w:rFonts w:ascii="Arial" w:hAnsi="Arial"/>
                        <w:b/>
                        <w:color w:val="FFFFFF" w:themeColor="background1"/>
                        <w:sz w:val="20"/>
                        <w:szCs w:val="20"/>
                      </w:rPr>
                    </w:pPr>
                    <w:r>
                      <w:rPr>
                        <w:rFonts w:ascii="Arial" w:hAnsi="Arial"/>
                        <w:b/>
                        <w:color w:val="FFFFFF" w:themeColor="background1"/>
                        <w:sz w:val="20"/>
                        <w:szCs w:val="20"/>
                      </w:rPr>
                      <w:t xml:space="preserve">July </w:t>
                    </w:r>
                    <w:r w:rsidR="00975117">
                      <w:rPr>
                        <w:rFonts w:ascii="Arial" w:hAnsi="Arial"/>
                        <w:b/>
                        <w:color w:val="FFFFFF" w:themeColor="background1"/>
                        <w:sz w:val="20"/>
                        <w:szCs w:val="20"/>
                      </w:rPr>
                      <w:t>1 through</w:t>
                    </w:r>
                    <w:r>
                      <w:rPr>
                        <w:rFonts w:ascii="Arial" w:hAnsi="Arial"/>
                        <w:b/>
                        <w:color w:val="FFFFFF" w:themeColor="background1"/>
                        <w:sz w:val="20"/>
                        <w:szCs w:val="20"/>
                      </w:rPr>
                      <w:t xml:space="preserve"> September</w:t>
                    </w:r>
                    <w:r w:rsidR="00975117">
                      <w:rPr>
                        <w:rFonts w:ascii="Arial" w:hAnsi="Arial"/>
                        <w:b/>
                        <w:color w:val="FFFFFF" w:themeColor="background1"/>
                        <w:sz w:val="20"/>
                        <w:szCs w:val="20"/>
                      </w:rPr>
                      <w:t xml:space="preserve"> 30, 2019</w:t>
                    </w:r>
                  </w:p>
                  <w:p w:rsidR="00975117" w:rsidRPr="004D11A5" w:rsidRDefault="00975117" w:rsidP="006C3E85">
                    <w:pPr>
                      <w:rPr>
                        <w:rFonts w:ascii="Arial" w:hAnsi="Arial"/>
                        <w:b/>
                        <w:color w:val="A7D036"/>
                        <w:sz w:val="56"/>
                        <w:szCs w:val="56"/>
                      </w:rPr>
                    </w:pPr>
                    <w:r>
                      <w:rPr>
                        <w:rFonts w:ascii="Arial" w:hAnsi="Arial"/>
                        <w:b/>
                        <w:color w:val="A7D036"/>
                        <w:sz w:val="56"/>
                        <w:szCs w:val="56"/>
                      </w:rPr>
                      <w:t>Rate &amp; Regulatory Update</w:t>
                    </w:r>
                  </w:p>
                </w:txbxContent>
              </v:textbox>
            </v:shape>
          </w:pict>
        </mc:Fallback>
      </mc:AlternateContent>
    </w:r>
    <w:r w:rsidRPr="00DE7014">
      <w:rPr>
        <w:rFonts w:ascii="Calibri" w:eastAsia="Times New Roman" w:hAnsi="Calibri" w:cs="Times New Roman" w:hint="eastAsia"/>
        <w:noProof/>
        <w:szCs w:val="24"/>
      </w:rPr>
      <w:drawing>
        <wp:anchor distT="0" distB="0" distL="114300" distR="114300" simplePos="0" relativeHeight="251659264" behindDoc="0" locked="0" layoutInCell="1" allowOverlap="1" wp14:anchorId="7A8D632F" wp14:editId="3ADE613E">
          <wp:simplePos x="0" y="0"/>
          <wp:positionH relativeFrom="page">
            <wp:align>right</wp:align>
          </wp:positionH>
          <wp:positionV relativeFrom="page">
            <wp:align>top</wp:align>
          </wp:positionV>
          <wp:extent cx="7771130" cy="1536700"/>
          <wp:effectExtent l="0" t="0" r="127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A E Header Art.jpg"/>
                  <pic:cNvPicPr/>
                </pic:nvPicPr>
                <pic:blipFill rotWithShape="1">
                  <a:blip r:embed="rId1" cstate="print">
                    <a:extLst>
                      <a:ext uri="{28A0092B-C50C-407E-A947-70E740481C1C}">
                        <a14:useLocalDpi xmlns:a14="http://schemas.microsoft.com/office/drawing/2010/main" val="0"/>
                      </a:ext>
                    </a:extLst>
                  </a:blip>
                  <a:srcRect b="36815"/>
                  <a:stretch/>
                </pic:blipFill>
                <pic:spPr bwMode="auto">
                  <a:xfrm>
                    <a:off x="0" y="0"/>
                    <a:ext cx="7771130" cy="15367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78D"/>
    <w:multiLevelType w:val="hybridMultilevel"/>
    <w:tmpl w:val="3C54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96AA0"/>
    <w:multiLevelType w:val="hybridMultilevel"/>
    <w:tmpl w:val="7080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13F"/>
    <w:multiLevelType w:val="hybridMultilevel"/>
    <w:tmpl w:val="36C0E3A6"/>
    <w:lvl w:ilvl="0" w:tplc="5470E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62FA7"/>
    <w:multiLevelType w:val="hybridMultilevel"/>
    <w:tmpl w:val="64BC2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039D9"/>
    <w:multiLevelType w:val="hybridMultilevel"/>
    <w:tmpl w:val="7FFEB48E"/>
    <w:lvl w:ilvl="0" w:tplc="D7E87C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95A1A"/>
    <w:multiLevelType w:val="hybridMultilevel"/>
    <w:tmpl w:val="EC30B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A33D1"/>
    <w:multiLevelType w:val="hybridMultilevel"/>
    <w:tmpl w:val="A6966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61198"/>
    <w:multiLevelType w:val="hybridMultilevel"/>
    <w:tmpl w:val="5A5C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9384B"/>
    <w:multiLevelType w:val="hybridMultilevel"/>
    <w:tmpl w:val="E0E8D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A57C6"/>
    <w:multiLevelType w:val="hybridMultilevel"/>
    <w:tmpl w:val="6BB6B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31F86"/>
    <w:multiLevelType w:val="hybridMultilevel"/>
    <w:tmpl w:val="AF68B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4C6FBB"/>
    <w:multiLevelType w:val="hybridMultilevel"/>
    <w:tmpl w:val="2EAE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61B61"/>
    <w:multiLevelType w:val="hybridMultilevel"/>
    <w:tmpl w:val="0DCE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D3588"/>
    <w:multiLevelType w:val="hybridMultilevel"/>
    <w:tmpl w:val="CE16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C2F47"/>
    <w:multiLevelType w:val="hybridMultilevel"/>
    <w:tmpl w:val="F0C2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844DD"/>
    <w:multiLevelType w:val="hybridMultilevel"/>
    <w:tmpl w:val="0B9E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40724"/>
    <w:multiLevelType w:val="hybridMultilevel"/>
    <w:tmpl w:val="38D2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A6254"/>
    <w:multiLevelType w:val="hybridMultilevel"/>
    <w:tmpl w:val="F296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B66DF"/>
    <w:multiLevelType w:val="hybridMultilevel"/>
    <w:tmpl w:val="51884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ED73B5"/>
    <w:multiLevelType w:val="hybridMultilevel"/>
    <w:tmpl w:val="849A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0073F7"/>
    <w:multiLevelType w:val="hybridMultilevel"/>
    <w:tmpl w:val="40E4B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19"/>
  </w:num>
  <w:num w:numId="5">
    <w:abstractNumId w:val="16"/>
  </w:num>
  <w:num w:numId="6">
    <w:abstractNumId w:val="5"/>
  </w:num>
  <w:num w:numId="7">
    <w:abstractNumId w:val="15"/>
  </w:num>
  <w:num w:numId="8">
    <w:abstractNumId w:val="0"/>
  </w:num>
  <w:num w:numId="9">
    <w:abstractNumId w:val="10"/>
  </w:num>
  <w:num w:numId="10">
    <w:abstractNumId w:val="18"/>
  </w:num>
  <w:num w:numId="11">
    <w:abstractNumId w:val="7"/>
  </w:num>
  <w:num w:numId="12">
    <w:abstractNumId w:val="20"/>
  </w:num>
  <w:num w:numId="13">
    <w:abstractNumId w:val="2"/>
  </w:num>
  <w:num w:numId="14">
    <w:abstractNumId w:val="11"/>
  </w:num>
  <w:num w:numId="15">
    <w:abstractNumId w:val="14"/>
  </w:num>
  <w:num w:numId="16">
    <w:abstractNumId w:val="17"/>
  </w:num>
  <w:num w:numId="17">
    <w:abstractNumId w:val="1"/>
  </w:num>
  <w:num w:numId="18">
    <w:abstractNumId w:val="12"/>
  </w:num>
  <w:num w:numId="19">
    <w:abstractNumId w:val="9"/>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26"/>
    <w:rsid w:val="0000016B"/>
    <w:rsid w:val="0000069D"/>
    <w:rsid w:val="00000717"/>
    <w:rsid w:val="00003004"/>
    <w:rsid w:val="000042AD"/>
    <w:rsid w:val="00005816"/>
    <w:rsid w:val="000064CB"/>
    <w:rsid w:val="00007856"/>
    <w:rsid w:val="00012F7E"/>
    <w:rsid w:val="0001500C"/>
    <w:rsid w:val="00015130"/>
    <w:rsid w:val="0001526D"/>
    <w:rsid w:val="00015860"/>
    <w:rsid w:val="00015C47"/>
    <w:rsid w:val="00016F42"/>
    <w:rsid w:val="000171AA"/>
    <w:rsid w:val="00017ABD"/>
    <w:rsid w:val="00017AEE"/>
    <w:rsid w:val="00017DBA"/>
    <w:rsid w:val="0002025B"/>
    <w:rsid w:val="00021C00"/>
    <w:rsid w:val="000229CD"/>
    <w:rsid w:val="0002613F"/>
    <w:rsid w:val="00026D35"/>
    <w:rsid w:val="00026DF4"/>
    <w:rsid w:val="00026F05"/>
    <w:rsid w:val="00026FE2"/>
    <w:rsid w:val="00031445"/>
    <w:rsid w:val="00031A98"/>
    <w:rsid w:val="00032FB5"/>
    <w:rsid w:val="00033B34"/>
    <w:rsid w:val="00033C66"/>
    <w:rsid w:val="00034F1B"/>
    <w:rsid w:val="000356D2"/>
    <w:rsid w:val="000377CE"/>
    <w:rsid w:val="00041FBC"/>
    <w:rsid w:val="0004230B"/>
    <w:rsid w:val="00044561"/>
    <w:rsid w:val="00044D74"/>
    <w:rsid w:val="0004674C"/>
    <w:rsid w:val="00050DF9"/>
    <w:rsid w:val="0005176A"/>
    <w:rsid w:val="0005197B"/>
    <w:rsid w:val="00055B13"/>
    <w:rsid w:val="000602A6"/>
    <w:rsid w:val="00063A04"/>
    <w:rsid w:val="00066A25"/>
    <w:rsid w:val="00066CAD"/>
    <w:rsid w:val="000674C4"/>
    <w:rsid w:val="000675B9"/>
    <w:rsid w:val="00067D07"/>
    <w:rsid w:val="0007184F"/>
    <w:rsid w:val="00071E9F"/>
    <w:rsid w:val="00072598"/>
    <w:rsid w:val="00073194"/>
    <w:rsid w:val="00073E8E"/>
    <w:rsid w:val="00074D2B"/>
    <w:rsid w:val="00077223"/>
    <w:rsid w:val="00077563"/>
    <w:rsid w:val="000819E3"/>
    <w:rsid w:val="00081D8F"/>
    <w:rsid w:val="0008299A"/>
    <w:rsid w:val="000856C3"/>
    <w:rsid w:val="000863E3"/>
    <w:rsid w:val="0008690E"/>
    <w:rsid w:val="000902D3"/>
    <w:rsid w:val="00093D5E"/>
    <w:rsid w:val="00093E39"/>
    <w:rsid w:val="00094788"/>
    <w:rsid w:val="00096A19"/>
    <w:rsid w:val="00096B19"/>
    <w:rsid w:val="00096DC6"/>
    <w:rsid w:val="000A0FA6"/>
    <w:rsid w:val="000A45D8"/>
    <w:rsid w:val="000A5AE3"/>
    <w:rsid w:val="000A61AA"/>
    <w:rsid w:val="000A64B4"/>
    <w:rsid w:val="000A662C"/>
    <w:rsid w:val="000A69D1"/>
    <w:rsid w:val="000B148C"/>
    <w:rsid w:val="000B1DDD"/>
    <w:rsid w:val="000B2FB9"/>
    <w:rsid w:val="000B2FD0"/>
    <w:rsid w:val="000B4696"/>
    <w:rsid w:val="000B5134"/>
    <w:rsid w:val="000B7754"/>
    <w:rsid w:val="000C04F6"/>
    <w:rsid w:val="000C1B88"/>
    <w:rsid w:val="000C4C4C"/>
    <w:rsid w:val="000C5A0C"/>
    <w:rsid w:val="000C5B01"/>
    <w:rsid w:val="000C6D2B"/>
    <w:rsid w:val="000C70F8"/>
    <w:rsid w:val="000D0064"/>
    <w:rsid w:val="000D0323"/>
    <w:rsid w:val="000D1256"/>
    <w:rsid w:val="000D27A9"/>
    <w:rsid w:val="000D5A65"/>
    <w:rsid w:val="000D68DD"/>
    <w:rsid w:val="000E0561"/>
    <w:rsid w:val="000E0C15"/>
    <w:rsid w:val="000E37C9"/>
    <w:rsid w:val="000E3F12"/>
    <w:rsid w:val="000E4F5C"/>
    <w:rsid w:val="000E533E"/>
    <w:rsid w:val="000E5705"/>
    <w:rsid w:val="000E667C"/>
    <w:rsid w:val="000F0E57"/>
    <w:rsid w:val="000F37F7"/>
    <w:rsid w:val="000F39C8"/>
    <w:rsid w:val="000F4F34"/>
    <w:rsid w:val="000F6527"/>
    <w:rsid w:val="000F6948"/>
    <w:rsid w:val="000F695E"/>
    <w:rsid w:val="000F6D29"/>
    <w:rsid w:val="000F6EA9"/>
    <w:rsid w:val="000F769A"/>
    <w:rsid w:val="001006B7"/>
    <w:rsid w:val="00102AC2"/>
    <w:rsid w:val="001038A2"/>
    <w:rsid w:val="00105C45"/>
    <w:rsid w:val="0010692B"/>
    <w:rsid w:val="00106FA5"/>
    <w:rsid w:val="0010764C"/>
    <w:rsid w:val="00110C84"/>
    <w:rsid w:val="00111497"/>
    <w:rsid w:val="00111565"/>
    <w:rsid w:val="00111BCA"/>
    <w:rsid w:val="00113F5D"/>
    <w:rsid w:val="00114DE2"/>
    <w:rsid w:val="00115F59"/>
    <w:rsid w:val="00117B42"/>
    <w:rsid w:val="00117D4F"/>
    <w:rsid w:val="00120521"/>
    <w:rsid w:val="00120FA9"/>
    <w:rsid w:val="00122E79"/>
    <w:rsid w:val="0012304D"/>
    <w:rsid w:val="00123801"/>
    <w:rsid w:val="00123E8D"/>
    <w:rsid w:val="001242A8"/>
    <w:rsid w:val="001248C9"/>
    <w:rsid w:val="00125AE9"/>
    <w:rsid w:val="00125BA0"/>
    <w:rsid w:val="0012674F"/>
    <w:rsid w:val="00127CCF"/>
    <w:rsid w:val="00130488"/>
    <w:rsid w:val="00130BC0"/>
    <w:rsid w:val="001312F4"/>
    <w:rsid w:val="00133ECD"/>
    <w:rsid w:val="00135DD0"/>
    <w:rsid w:val="00142B10"/>
    <w:rsid w:val="00142C39"/>
    <w:rsid w:val="00145DEA"/>
    <w:rsid w:val="001470F3"/>
    <w:rsid w:val="00151395"/>
    <w:rsid w:val="00151624"/>
    <w:rsid w:val="00151A37"/>
    <w:rsid w:val="00151CCC"/>
    <w:rsid w:val="00155A1B"/>
    <w:rsid w:val="0015666B"/>
    <w:rsid w:val="00161425"/>
    <w:rsid w:val="001625A7"/>
    <w:rsid w:val="0016358C"/>
    <w:rsid w:val="00163CDD"/>
    <w:rsid w:val="001640E3"/>
    <w:rsid w:val="00164F18"/>
    <w:rsid w:val="00166CC2"/>
    <w:rsid w:val="001671AB"/>
    <w:rsid w:val="00167CE2"/>
    <w:rsid w:val="001722BF"/>
    <w:rsid w:val="001729FB"/>
    <w:rsid w:val="00174188"/>
    <w:rsid w:val="00174FBE"/>
    <w:rsid w:val="0017589F"/>
    <w:rsid w:val="001759B7"/>
    <w:rsid w:val="001762A3"/>
    <w:rsid w:val="00177CBF"/>
    <w:rsid w:val="001809F8"/>
    <w:rsid w:val="00180E78"/>
    <w:rsid w:val="001810C6"/>
    <w:rsid w:val="001813F3"/>
    <w:rsid w:val="00183DBB"/>
    <w:rsid w:val="001841F9"/>
    <w:rsid w:val="00184B7C"/>
    <w:rsid w:val="0018711C"/>
    <w:rsid w:val="001921B6"/>
    <w:rsid w:val="00196D00"/>
    <w:rsid w:val="001A0155"/>
    <w:rsid w:val="001A0774"/>
    <w:rsid w:val="001A15E9"/>
    <w:rsid w:val="001A2013"/>
    <w:rsid w:val="001A22FE"/>
    <w:rsid w:val="001A460E"/>
    <w:rsid w:val="001B0330"/>
    <w:rsid w:val="001B03FD"/>
    <w:rsid w:val="001B1F30"/>
    <w:rsid w:val="001B56D0"/>
    <w:rsid w:val="001B5775"/>
    <w:rsid w:val="001C0673"/>
    <w:rsid w:val="001C1C21"/>
    <w:rsid w:val="001C536A"/>
    <w:rsid w:val="001C6A4D"/>
    <w:rsid w:val="001C7878"/>
    <w:rsid w:val="001D1C5E"/>
    <w:rsid w:val="001D2F3B"/>
    <w:rsid w:val="001D538C"/>
    <w:rsid w:val="001D5A9D"/>
    <w:rsid w:val="001D67BB"/>
    <w:rsid w:val="001D7178"/>
    <w:rsid w:val="001D7BC4"/>
    <w:rsid w:val="001E0486"/>
    <w:rsid w:val="001E3FF0"/>
    <w:rsid w:val="001E48AC"/>
    <w:rsid w:val="001E55EF"/>
    <w:rsid w:val="001E6CD9"/>
    <w:rsid w:val="001E6FB5"/>
    <w:rsid w:val="001F0DF2"/>
    <w:rsid w:val="001F3022"/>
    <w:rsid w:val="001F319B"/>
    <w:rsid w:val="001F3588"/>
    <w:rsid w:val="001F3A23"/>
    <w:rsid w:val="001F5597"/>
    <w:rsid w:val="001F5E4A"/>
    <w:rsid w:val="001F5E59"/>
    <w:rsid w:val="001F757D"/>
    <w:rsid w:val="00201F4B"/>
    <w:rsid w:val="00202021"/>
    <w:rsid w:val="00202980"/>
    <w:rsid w:val="0020524F"/>
    <w:rsid w:val="0020767D"/>
    <w:rsid w:val="002112EC"/>
    <w:rsid w:val="00211CC1"/>
    <w:rsid w:val="00211F72"/>
    <w:rsid w:val="002159D0"/>
    <w:rsid w:val="00216501"/>
    <w:rsid w:val="002224A3"/>
    <w:rsid w:val="00222C53"/>
    <w:rsid w:val="0022311B"/>
    <w:rsid w:val="0022457A"/>
    <w:rsid w:val="00224C4B"/>
    <w:rsid w:val="0022628B"/>
    <w:rsid w:val="00227288"/>
    <w:rsid w:val="00231330"/>
    <w:rsid w:val="002317FF"/>
    <w:rsid w:val="00231F4A"/>
    <w:rsid w:val="00234A15"/>
    <w:rsid w:val="00235C5F"/>
    <w:rsid w:val="002375EB"/>
    <w:rsid w:val="00237D37"/>
    <w:rsid w:val="00242A08"/>
    <w:rsid w:val="00242B67"/>
    <w:rsid w:val="002434B9"/>
    <w:rsid w:val="00244BAD"/>
    <w:rsid w:val="00244C3A"/>
    <w:rsid w:val="0024712B"/>
    <w:rsid w:val="0024763A"/>
    <w:rsid w:val="00250703"/>
    <w:rsid w:val="002509AE"/>
    <w:rsid w:val="00251C40"/>
    <w:rsid w:val="002524FF"/>
    <w:rsid w:val="00253542"/>
    <w:rsid w:val="002552DD"/>
    <w:rsid w:val="00260E27"/>
    <w:rsid w:val="00261139"/>
    <w:rsid w:val="0026201B"/>
    <w:rsid w:val="002628A6"/>
    <w:rsid w:val="00262EA6"/>
    <w:rsid w:val="00262F0C"/>
    <w:rsid w:val="00263E51"/>
    <w:rsid w:val="002640CD"/>
    <w:rsid w:val="002652E0"/>
    <w:rsid w:val="00265947"/>
    <w:rsid w:val="00267AC1"/>
    <w:rsid w:val="00271CDA"/>
    <w:rsid w:val="002727D5"/>
    <w:rsid w:val="00275B3D"/>
    <w:rsid w:val="00275C35"/>
    <w:rsid w:val="002773F4"/>
    <w:rsid w:val="00283CAD"/>
    <w:rsid w:val="002863E3"/>
    <w:rsid w:val="002877B7"/>
    <w:rsid w:val="00287D93"/>
    <w:rsid w:val="0029041E"/>
    <w:rsid w:val="0029064B"/>
    <w:rsid w:val="002920B0"/>
    <w:rsid w:val="00292C33"/>
    <w:rsid w:val="00292D5A"/>
    <w:rsid w:val="002936B3"/>
    <w:rsid w:val="00294C69"/>
    <w:rsid w:val="002959AC"/>
    <w:rsid w:val="00295FE1"/>
    <w:rsid w:val="002970CA"/>
    <w:rsid w:val="002A0039"/>
    <w:rsid w:val="002A0716"/>
    <w:rsid w:val="002A162A"/>
    <w:rsid w:val="002A1A53"/>
    <w:rsid w:val="002A1C65"/>
    <w:rsid w:val="002A2773"/>
    <w:rsid w:val="002A4847"/>
    <w:rsid w:val="002B0F23"/>
    <w:rsid w:val="002B1781"/>
    <w:rsid w:val="002B206B"/>
    <w:rsid w:val="002B3649"/>
    <w:rsid w:val="002B4DA3"/>
    <w:rsid w:val="002B5C2C"/>
    <w:rsid w:val="002B63B9"/>
    <w:rsid w:val="002B6AC3"/>
    <w:rsid w:val="002B7AE6"/>
    <w:rsid w:val="002C007A"/>
    <w:rsid w:val="002C41A8"/>
    <w:rsid w:val="002C4502"/>
    <w:rsid w:val="002C544E"/>
    <w:rsid w:val="002C670A"/>
    <w:rsid w:val="002C6A83"/>
    <w:rsid w:val="002C7C26"/>
    <w:rsid w:val="002D4719"/>
    <w:rsid w:val="002D5DD3"/>
    <w:rsid w:val="002D6763"/>
    <w:rsid w:val="002D6B18"/>
    <w:rsid w:val="002E24BE"/>
    <w:rsid w:val="002E30B9"/>
    <w:rsid w:val="002E4368"/>
    <w:rsid w:val="002E4A5C"/>
    <w:rsid w:val="002E4DCC"/>
    <w:rsid w:val="002E5982"/>
    <w:rsid w:val="002E72BF"/>
    <w:rsid w:val="002E7796"/>
    <w:rsid w:val="002F1215"/>
    <w:rsid w:val="002F68F9"/>
    <w:rsid w:val="002F74D0"/>
    <w:rsid w:val="00300500"/>
    <w:rsid w:val="00302B49"/>
    <w:rsid w:val="00302EA4"/>
    <w:rsid w:val="003032C7"/>
    <w:rsid w:val="00303AE0"/>
    <w:rsid w:val="00303F6A"/>
    <w:rsid w:val="0030668B"/>
    <w:rsid w:val="00306EF7"/>
    <w:rsid w:val="00307441"/>
    <w:rsid w:val="00307B41"/>
    <w:rsid w:val="003108B0"/>
    <w:rsid w:val="003128DC"/>
    <w:rsid w:val="00312A88"/>
    <w:rsid w:val="00314BD3"/>
    <w:rsid w:val="003153D5"/>
    <w:rsid w:val="0031564C"/>
    <w:rsid w:val="00317128"/>
    <w:rsid w:val="003178A0"/>
    <w:rsid w:val="003214B8"/>
    <w:rsid w:val="003242BD"/>
    <w:rsid w:val="0032574D"/>
    <w:rsid w:val="00326CDB"/>
    <w:rsid w:val="003271AD"/>
    <w:rsid w:val="003307F2"/>
    <w:rsid w:val="0033279C"/>
    <w:rsid w:val="00332C1D"/>
    <w:rsid w:val="00335320"/>
    <w:rsid w:val="00337A99"/>
    <w:rsid w:val="00341FAD"/>
    <w:rsid w:val="0034313E"/>
    <w:rsid w:val="003438F1"/>
    <w:rsid w:val="00344435"/>
    <w:rsid w:val="00346CAB"/>
    <w:rsid w:val="0034706E"/>
    <w:rsid w:val="003477D8"/>
    <w:rsid w:val="0035070B"/>
    <w:rsid w:val="003514DE"/>
    <w:rsid w:val="003563AD"/>
    <w:rsid w:val="0035769E"/>
    <w:rsid w:val="00357BA2"/>
    <w:rsid w:val="00360016"/>
    <w:rsid w:val="0036092D"/>
    <w:rsid w:val="003632FA"/>
    <w:rsid w:val="00364576"/>
    <w:rsid w:val="00364C77"/>
    <w:rsid w:val="00370652"/>
    <w:rsid w:val="00372587"/>
    <w:rsid w:val="00376064"/>
    <w:rsid w:val="00380674"/>
    <w:rsid w:val="00381019"/>
    <w:rsid w:val="0038162A"/>
    <w:rsid w:val="00381661"/>
    <w:rsid w:val="003818D8"/>
    <w:rsid w:val="00382613"/>
    <w:rsid w:val="003841AD"/>
    <w:rsid w:val="00384D29"/>
    <w:rsid w:val="00385421"/>
    <w:rsid w:val="0038747D"/>
    <w:rsid w:val="0039192A"/>
    <w:rsid w:val="00391A7A"/>
    <w:rsid w:val="00392044"/>
    <w:rsid w:val="0039207F"/>
    <w:rsid w:val="00395B7E"/>
    <w:rsid w:val="003962B9"/>
    <w:rsid w:val="003970EE"/>
    <w:rsid w:val="003A0B49"/>
    <w:rsid w:val="003A1E1B"/>
    <w:rsid w:val="003A29D7"/>
    <w:rsid w:val="003A7771"/>
    <w:rsid w:val="003B114D"/>
    <w:rsid w:val="003B3940"/>
    <w:rsid w:val="003B4002"/>
    <w:rsid w:val="003B451E"/>
    <w:rsid w:val="003B4F7B"/>
    <w:rsid w:val="003B653F"/>
    <w:rsid w:val="003B7EC8"/>
    <w:rsid w:val="003C079C"/>
    <w:rsid w:val="003C08B0"/>
    <w:rsid w:val="003C0C15"/>
    <w:rsid w:val="003C1EA7"/>
    <w:rsid w:val="003C3975"/>
    <w:rsid w:val="003C3B2F"/>
    <w:rsid w:val="003C3BC5"/>
    <w:rsid w:val="003C43C8"/>
    <w:rsid w:val="003C6AD3"/>
    <w:rsid w:val="003D231E"/>
    <w:rsid w:val="003D3465"/>
    <w:rsid w:val="003D3D70"/>
    <w:rsid w:val="003D425C"/>
    <w:rsid w:val="003D458D"/>
    <w:rsid w:val="003E0A98"/>
    <w:rsid w:val="003E1F66"/>
    <w:rsid w:val="003E6012"/>
    <w:rsid w:val="003E654F"/>
    <w:rsid w:val="003E686B"/>
    <w:rsid w:val="003F15B3"/>
    <w:rsid w:val="003F1C66"/>
    <w:rsid w:val="003F2A5E"/>
    <w:rsid w:val="003F3F02"/>
    <w:rsid w:val="003F40CF"/>
    <w:rsid w:val="003F7DA5"/>
    <w:rsid w:val="003F7F7D"/>
    <w:rsid w:val="004005F1"/>
    <w:rsid w:val="00400E4C"/>
    <w:rsid w:val="004014FA"/>
    <w:rsid w:val="00404E77"/>
    <w:rsid w:val="004065D9"/>
    <w:rsid w:val="004104B4"/>
    <w:rsid w:val="00410D44"/>
    <w:rsid w:val="00413A49"/>
    <w:rsid w:val="00416BC2"/>
    <w:rsid w:val="00417182"/>
    <w:rsid w:val="00417877"/>
    <w:rsid w:val="004204B6"/>
    <w:rsid w:val="0042062F"/>
    <w:rsid w:val="004233C3"/>
    <w:rsid w:val="00424E5D"/>
    <w:rsid w:val="00425748"/>
    <w:rsid w:val="00425F53"/>
    <w:rsid w:val="004262A4"/>
    <w:rsid w:val="00426DBE"/>
    <w:rsid w:val="00432213"/>
    <w:rsid w:val="00433C6D"/>
    <w:rsid w:val="00434060"/>
    <w:rsid w:val="00434D57"/>
    <w:rsid w:val="00436B44"/>
    <w:rsid w:val="00437552"/>
    <w:rsid w:val="00437833"/>
    <w:rsid w:val="00441218"/>
    <w:rsid w:val="004422BE"/>
    <w:rsid w:val="00442D21"/>
    <w:rsid w:val="00442ECA"/>
    <w:rsid w:val="00444648"/>
    <w:rsid w:val="00445633"/>
    <w:rsid w:val="00446AA5"/>
    <w:rsid w:val="00446F1C"/>
    <w:rsid w:val="0044732D"/>
    <w:rsid w:val="004474D7"/>
    <w:rsid w:val="004509D9"/>
    <w:rsid w:val="004513B6"/>
    <w:rsid w:val="0045161B"/>
    <w:rsid w:val="0045220A"/>
    <w:rsid w:val="00452307"/>
    <w:rsid w:val="00452F3F"/>
    <w:rsid w:val="00453A5B"/>
    <w:rsid w:val="00453D76"/>
    <w:rsid w:val="00455831"/>
    <w:rsid w:val="00456231"/>
    <w:rsid w:val="004568F5"/>
    <w:rsid w:val="004601DC"/>
    <w:rsid w:val="00461A76"/>
    <w:rsid w:val="00461FE5"/>
    <w:rsid w:val="004660A4"/>
    <w:rsid w:val="0047025F"/>
    <w:rsid w:val="0047270A"/>
    <w:rsid w:val="00473B46"/>
    <w:rsid w:val="00481A97"/>
    <w:rsid w:val="00483FBC"/>
    <w:rsid w:val="004850F8"/>
    <w:rsid w:val="004856D3"/>
    <w:rsid w:val="0048578D"/>
    <w:rsid w:val="004859FA"/>
    <w:rsid w:val="00490509"/>
    <w:rsid w:val="0049182D"/>
    <w:rsid w:val="00491B63"/>
    <w:rsid w:val="00493462"/>
    <w:rsid w:val="004939AA"/>
    <w:rsid w:val="00495FF0"/>
    <w:rsid w:val="00496168"/>
    <w:rsid w:val="0049667E"/>
    <w:rsid w:val="00496F46"/>
    <w:rsid w:val="004A1A82"/>
    <w:rsid w:val="004A1B32"/>
    <w:rsid w:val="004A4C05"/>
    <w:rsid w:val="004A577F"/>
    <w:rsid w:val="004A5DD1"/>
    <w:rsid w:val="004B147B"/>
    <w:rsid w:val="004B2835"/>
    <w:rsid w:val="004B4606"/>
    <w:rsid w:val="004B4858"/>
    <w:rsid w:val="004B5272"/>
    <w:rsid w:val="004B6D46"/>
    <w:rsid w:val="004B7B98"/>
    <w:rsid w:val="004C1106"/>
    <w:rsid w:val="004C2893"/>
    <w:rsid w:val="004C5841"/>
    <w:rsid w:val="004C5EC0"/>
    <w:rsid w:val="004C6F72"/>
    <w:rsid w:val="004C784A"/>
    <w:rsid w:val="004C7A4A"/>
    <w:rsid w:val="004D07E3"/>
    <w:rsid w:val="004D095B"/>
    <w:rsid w:val="004D248F"/>
    <w:rsid w:val="004D41B6"/>
    <w:rsid w:val="004D6927"/>
    <w:rsid w:val="004D6C5C"/>
    <w:rsid w:val="004E0147"/>
    <w:rsid w:val="004E0D64"/>
    <w:rsid w:val="004E5D4D"/>
    <w:rsid w:val="004E6703"/>
    <w:rsid w:val="004E73AC"/>
    <w:rsid w:val="004E793E"/>
    <w:rsid w:val="004E7E61"/>
    <w:rsid w:val="004E7F26"/>
    <w:rsid w:val="004F0711"/>
    <w:rsid w:val="004F1AE5"/>
    <w:rsid w:val="004F2671"/>
    <w:rsid w:val="004F378B"/>
    <w:rsid w:val="004F3F45"/>
    <w:rsid w:val="004F521A"/>
    <w:rsid w:val="005007FA"/>
    <w:rsid w:val="005031E5"/>
    <w:rsid w:val="00505E6E"/>
    <w:rsid w:val="0050661F"/>
    <w:rsid w:val="00506A73"/>
    <w:rsid w:val="00506EA4"/>
    <w:rsid w:val="005071E3"/>
    <w:rsid w:val="00511730"/>
    <w:rsid w:val="00513417"/>
    <w:rsid w:val="00515C3D"/>
    <w:rsid w:val="0051781D"/>
    <w:rsid w:val="00521A70"/>
    <w:rsid w:val="0052272E"/>
    <w:rsid w:val="005241B2"/>
    <w:rsid w:val="00525F89"/>
    <w:rsid w:val="00526261"/>
    <w:rsid w:val="00533B23"/>
    <w:rsid w:val="005348EC"/>
    <w:rsid w:val="005364C2"/>
    <w:rsid w:val="00536751"/>
    <w:rsid w:val="005416AD"/>
    <w:rsid w:val="00541BB4"/>
    <w:rsid w:val="0054288D"/>
    <w:rsid w:val="00542A9D"/>
    <w:rsid w:val="0054721E"/>
    <w:rsid w:val="005507B1"/>
    <w:rsid w:val="00550C48"/>
    <w:rsid w:val="005516A2"/>
    <w:rsid w:val="00551878"/>
    <w:rsid w:val="00551F51"/>
    <w:rsid w:val="00556764"/>
    <w:rsid w:val="0055711A"/>
    <w:rsid w:val="005575E7"/>
    <w:rsid w:val="00557719"/>
    <w:rsid w:val="00561328"/>
    <w:rsid w:val="00562CB2"/>
    <w:rsid w:val="00567648"/>
    <w:rsid w:val="00570B10"/>
    <w:rsid w:val="00570B89"/>
    <w:rsid w:val="005714C9"/>
    <w:rsid w:val="0057313D"/>
    <w:rsid w:val="00581CB0"/>
    <w:rsid w:val="00582BA3"/>
    <w:rsid w:val="00582F97"/>
    <w:rsid w:val="005834EF"/>
    <w:rsid w:val="00583681"/>
    <w:rsid w:val="00583C36"/>
    <w:rsid w:val="005845E1"/>
    <w:rsid w:val="00584CF9"/>
    <w:rsid w:val="005858C3"/>
    <w:rsid w:val="005860F8"/>
    <w:rsid w:val="005864D0"/>
    <w:rsid w:val="00591F0E"/>
    <w:rsid w:val="005936D6"/>
    <w:rsid w:val="005938F5"/>
    <w:rsid w:val="00593EE7"/>
    <w:rsid w:val="0059496F"/>
    <w:rsid w:val="00595C94"/>
    <w:rsid w:val="00597989"/>
    <w:rsid w:val="005A001E"/>
    <w:rsid w:val="005A13B8"/>
    <w:rsid w:val="005A1819"/>
    <w:rsid w:val="005A189C"/>
    <w:rsid w:val="005A20D4"/>
    <w:rsid w:val="005A2F42"/>
    <w:rsid w:val="005A369D"/>
    <w:rsid w:val="005A3E66"/>
    <w:rsid w:val="005A5BEE"/>
    <w:rsid w:val="005A64B3"/>
    <w:rsid w:val="005A7012"/>
    <w:rsid w:val="005A7A1B"/>
    <w:rsid w:val="005B0C20"/>
    <w:rsid w:val="005B19A6"/>
    <w:rsid w:val="005B1AFF"/>
    <w:rsid w:val="005B1EEF"/>
    <w:rsid w:val="005B2D47"/>
    <w:rsid w:val="005B387C"/>
    <w:rsid w:val="005B426C"/>
    <w:rsid w:val="005B580B"/>
    <w:rsid w:val="005B6043"/>
    <w:rsid w:val="005B6835"/>
    <w:rsid w:val="005B6A3F"/>
    <w:rsid w:val="005B6C4A"/>
    <w:rsid w:val="005B7252"/>
    <w:rsid w:val="005C0D80"/>
    <w:rsid w:val="005C3ABB"/>
    <w:rsid w:val="005C44D6"/>
    <w:rsid w:val="005C46AD"/>
    <w:rsid w:val="005C4C48"/>
    <w:rsid w:val="005C5B1A"/>
    <w:rsid w:val="005C5F70"/>
    <w:rsid w:val="005C6EE4"/>
    <w:rsid w:val="005D095C"/>
    <w:rsid w:val="005D1FC8"/>
    <w:rsid w:val="005D2082"/>
    <w:rsid w:val="005D35AF"/>
    <w:rsid w:val="005D37F0"/>
    <w:rsid w:val="005D587E"/>
    <w:rsid w:val="005D5FD6"/>
    <w:rsid w:val="005D76A5"/>
    <w:rsid w:val="005D7F5D"/>
    <w:rsid w:val="005E0835"/>
    <w:rsid w:val="005E0A36"/>
    <w:rsid w:val="005E2C74"/>
    <w:rsid w:val="005E2EDB"/>
    <w:rsid w:val="005E4D0F"/>
    <w:rsid w:val="005E4E3D"/>
    <w:rsid w:val="005E54A3"/>
    <w:rsid w:val="005E5DDE"/>
    <w:rsid w:val="005F1B31"/>
    <w:rsid w:val="005F243C"/>
    <w:rsid w:val="005F39C2"/>
    <w:rsid w:val="005F3DEB"/>
    <w:rsid w:val="005F40B7"/>
    <w:rsid w:val="005F7E63"/>
    <w:rsid w:val="00600E09"/>
    <w:rsid w:val="006023F9"/>
    <w:rsid w:val="006048FC"/>
    <w:rsid w:val="00604D1B"/>
    <w:rsid w:val="00607467"/>
    <w:rsid w:val="00607D28"/>
    <w:rsid w:val="00610E8C"/>
    <w:rsid w:val="0061237E"/>
    <w:rsid w:val="006123A4"/>
    <w:rsid w:val="00613A6B"/>
    <w:rsid w:val="00613EE2"/>
    <w:rsid w:val="00614BEA"/>
    <w:rsid w:val="00614EAA"/>
    <w:rsid w:val="00614F55"/>
    <w:rsid w:val="00615FF3"/>
    <w:rsid w:val="00617D60"/>
    <w:rsid w:val="00621414"/>
    <w:rsid w:val="00621738"/>
    <w:rsid w:val="00622356"/>
    <w:rsid w:val="00622C46"/>
    <w:rsid w:val="00623688"/>
    <w:rsid w:val="00623F96"/>
    <w:rsid w:val="00624120"/>
    <w:rsid w:val="006244ED"/>
    <w:rsid w:val="00627EB0"/>
    <w:rsid w:val="00630785"/>
    <w:rsid w:val="00631B08"/>
    <w:rsid w:val="0063221B"/>
    <w:rsid w:val="00633CBF"/>
    <w:rsid w:val="00634DC8"/>
    <w:rsid w:val="0063501E"/>
    <w:rsid w:val="00636350"/>
    <w:rsid w:val="00636759"/>
    <w:rsid w:val="006369D6"/>
    <w:rsid w:val="00636F99"/>
    <w:rsid w:val="0063731B"/>
    <w:rsid w:val="00640CD6"/>
    <w:rsid w:val="006413D8"/>
    <w:rsid w:val="00642745"/>
    <w:rsid w:val="00644EA0"/>
    <w:rsid w:val="00644F82"/>
    <w:rsid w:val="0064744A"/>
    <w:rsid w:val="00647A0C"/>
    <w:rsid w:val="006501D8"/>
    <w:rsid w:val="006514E3"/>
    <w:rsid w:val="00652DBD"/>
    <w:rsid w:val="006530D3"/>
    <w:rsid w:val="006531A4"/>
    <w:rsid w:val="00653FF6"/>
    <w:rsid w:val="006540A0"/>
    <w:rsid w:val="0065420D"/>
    <w:rsid w:val="00654B46"/>
    <w:rsid w:val="0065662E"/>
    <w:rsid w:val="00656E02"/>
    <w:rsid w:val="006600FD"/>
    <w:rsid w:val="00660A43"/>
    <w:rsid w:val="00660DA6"/>
    <w:rsid w:val="00662B10"/>
    <w:rsid w:val="00663C02"/>
    <w:rsid w:val="00664F8A"/>
    <w:rsid w:val="0066650B"/>
    <w:rsid w:val="00666E32"/>
    <w:rsid w:val="0067181C"/>
    <w:rsid w:val="00672476"/>
    <w:rsid w:val="00672943"/>
    <w:rsid w:val="00675897"/>
    <w:rsid w:val="00680438"/>
    <w:rsid w:val="0068244A"/>
    <w:rsid w:val="00682EF0"/>
    <w:rsid w:val="00683905"/>
    <w:rsid w:val="00683EDC"/>
    <w:rsid w:val="00684717"/>
    <w:rsid w:val="00686591"/>
    <w:rsid w:val="0068762C"/>
    <w:rsid w:val="00690614"/>
    <w:rsid w:val="00691538"/>
    <w:rsid w:val="00691911"/>
    <w:rsid w:val="00692654"/>
    <w:rsid w:val="00694009"/>
    <w:rsid w:val="006971FE"/>
    <w:rsid w:val="00697541"/>
    <w:rsid w:val="006A0AAB"/>
    <w:rsid w:val="006A0EBD"/>
    <w:rsid w:val="006A20C9"/>
    <w:rsid w:val="006A2127"/>
    <w:rsid w:val="006A307B"/>
    <w:rsid w:val="006A7365"/>
    <w:rsid w:val="006B0973"/>
    <w:rsid w:val="006B1403"/>
    <w:rsid w:val="006B3C58"/>
    <w:rsid w:val="006B3D15"/>
    <w:rsid w:val="006B3F74"/>
    <w:rsid w:val="006B4815"/>
    <w:rsid w:val="006B6F85"/>
    <w:rsid w:val="006B7C60"/>
    <w:rsid w:val="006C0361"/>
    <w:rsid w:val="006C0F04"/>
    <w:rsid w:val="006C339E"/>
    <w:rsid w:val="006C3E3F"/>
    <w:rsid w:val="006C3E85"/>
    <w:rsid w:val="006C408F"/>
    <w:rsid w:val="006C5F71"/>
    <w:rsid w:val="006C7A98"/>
    <w:rsid w:val="006D1D2A"/>
    <w:rsid w:val="006D40CE"/>
    <w:rsid w:val="006D592F"/>
    <w:rsid w:val="006D5AC0"/>
    <w:rsid w:val="006D686A"/>
    <w:rsid w:val="006D6C41"/>
    <w:rsid w:val="006D6E75"/>
    <w:rsid w:val="006D70AB"/>
    <w:rsid w:val="006D7EC9"/>
    <w:rsid w:val="006E0432"/>
    <w:rsid w:val="006E0746"/>
    <w:rsid w:val="006E15DE"/>
    <w:rsid w:val="006E30EB"/>
    <w:rsid w:val="006E4334"/>
    <w:rsid w:val="006E5868"/>
    <w:rsid w:val="006E656E"/>
    <w:rsid w:val="006E6E1B"/>
    <w:rsid w:val="006F1BB8"/>
    <w:rsid w:val="006F2086"/>
    <w:rsid w:val="006F213E"/>
    <w:rsid w:val="006F28B3"/>
    <w:rsid w:val="006F28DD"/>
    <w:rsid w:val="006F5A20"/>
    <w:rsid w:val="006F5EE8"/>
    <w:rsid w:val="006F7C33"/>
    <w:rsid w:val="006F7D43"/>
    <w:rsid w:val="00700A18"/>
    <w:rsid w:val="00700EF7"/>
    <w:rsid w:val="007019CE"/>
    <w:rsid w:val="00702F3C"/>
    <w:rsid w:val="007068DB"/>
    <w:rsid w:val="007079FD"/>
    <w:rsid w:val="00712677"/>
    <w:rsid w:val="00712D21"/>
    <w:rsid w:val="00713677"/>
    <w:rsid w:val="00713C42"/>
    <w:rsid w:val="00717B18"/>
    <w:rsid w:val="007200CD"/>
    <w:rsid w:val="007220F6"/>
    <w:rsid w:val="00723B06"/>
    <w:rsid w:val="00723D6A"/>
    <w:rsid w:val="00724727"/>
    <w:rsid w:val="00724A9E"/>
    <w:rsid w:val="007252BE"/>
    <w:rsid w:val="007268C3"/>
    <w:rsid w:val="00730015"/>
    <w:rsid w:val="00731218"/>
    <w:rsid w:val="007318E6"/>
    <w:rsid w:val="00732E16"/>
    <w:rsid w:val="007343A4"/>
    <w:rsid w:val="007350D3"/>
    <w:rsid w:val="00735EDC"/>
    <w:rsid w:val="0073640E"/>
    <w:rsid w:val="0073707D"/>
    <w:rsid w:val="00740B3E"/>
    <w:rsid w:val="00742C80"/>
    <w:rsid w:val="00745728"/>
    <w:rsid w:val="00745A89"/>
    <w:rsid w:val="00745E43"/>
    <w:rsid w:val="007461DC"/>
    <w:rsid w:val="00746E6A"/>
    <w:rsid w:val="007474C7"/>
    <w:rsid w:val="00747F13"/>
    <w:rsid w:val="00750EE9"/>
    <w:rsid w:val="0075151A"/>
    <w:rsid w:val="00751657"/>
    <w:rsid w:val="00751C52"/>
    <w:rsid w:val="0075224B"/>
    <w:rsid w:val="00752C05"/>
    <w:rsid w:val="00754518"/>
    <w:rsid w:val="00755A57"/>
    <w:rsid w:val="00757624"/>
    <w:rsid w:val="007610A6"/>
    <w:rsid w:val="00761B06"/>
    <w:rsid w:val="00762122"/>
    <w:rsid w:val="00763D86"/>
    <w:rsid w:val="00764247"/>
    <w:rsid w:val="00764DB7"/>
    <w:rsid w:val="0076572F"/>
    <w:rsid w:val="00766CF8"/>
    <w:rsid w:val="00766FA9"/>
    <w:rsid w:val="007709A9"/>
    <w:rsid w:val="007712FD"/>
    <w:rsid w:val="00771FD0"/>
    <w:rsid w:val="0077213F"/>
    <w:rsid w:val="00772837"/>
    <w:rsid w:val="00772945"/>
    <w:rsid w:val="007730C9"/>
    <w:rsid w:val="00775C21"/>
    <w:rsid w:val="00775FEA"/>
    <w:rsid w:val="00781049"/>
    <w:rsid w:val="007810E8"/>
    <w:rsid w:val="0078154F"/>
    <w:rsid w:val="00783B41"/>
    <w:rsid w:val="00783E89"/>
    <w:rsid w:val="00785047"/>
    <w:rsid w:val="00786BA3"/>
    <w:rsid w:val="0078741C"/>
    <w:rsid w:val="0079000A"/>
    <w:rsid w:val="007901E8"/>
    <w:rsid w:val="007906A4"/>
    <w:rsid w:val="007909A6"/>
    <w:rsid w:val="00791E19"/>
    <w:rsid w:val="007921AF"/>
    <w:rsid w:val="0079359A"/>
    <w:rsid w:val="00794618"/>
    <w:rsid w:val="007946D4"/>
    <w:rsid w:val="007964D6"/>
    <w:rsid w:val="007A0ACF"/>
    <w:rsid w:val="007A1132"/>
    <w:rsid w:val="007A2EEF"/>
    <w:rsid w:val="007A3525"/>
    <w:rsid w:val="007A3776"/>
    <w:rsid w:val="007A40D0"/>
    <w:rsid w:val="007A6101"/>
    <w:rsid w:val="007A6183"/>
    <w:rsid w:val="007A6915"/>
    <w:rsid w:val="007B014F"/>
    <w:rsid w:val="007B059B"/>
    <w:rsid w:val="007B1266"/>
    <w:rsid w:val="007B2B18"/>
    <w:rsid w:val="007B346A"/>
    <w:rsid w:val="007B35EE"/>
    <w:rsid w:val="007B444B"/>
    <w:rsid w:val="007B6F66"/>
    <w:rsid w:val="007C0021"/>
    <w:rsid w:val="007C01D9"/>
    <w:rsid w:val="007C37B6"/>
    <w:rsid w:val="007C7A28"/>
    <w:rsid w:val="007D1745"/>
    <w:rsid w:val="007D64A4"/>
    <w:rsid w:val="007D71A0"/>
    <w:rsid w:val="007D758A"/>
    <w:rsid w:val="007E06BA"/>
    <w:rsid w:val="007E0EB0"/>
    <w:rsid w:val="007E1100"/>
    <w:rsid w:val="007E1AFB"/>
    <w:rsid w:val="007E34A5"/>
    <w:rsid w:val="007E3603"/>
    <w:rsid w:val="007E6B83"/>
    <w:rsid w:val="007F1708"/>
    <w:rsid w:val="007F271B"/>
    <w:rsid w:val="007F48BC"/>
    <w:rsid w:val="007F67D0"/>
    <w:rsid w:val="007F6EB0"/>
    <w:rsid w:val="007F7E97"/>
    <w:rsid w:val="00801522"/>
    <w:rsid w:val="008029F8"/>
    <w:rsid w:val="008032ED"/>
    <w:rsid w:val="00804214"/>
    <w:rsid w:val="00804398"/>
    <w:rsid w:val="008043D3"/>
    <w:rsid w:val="008045C0"/>
    <w:rsid w:val="00805315"/>
    <w:rsid w:val="008073B7"/>
    <w:rsid w:val="00807494"/>
    <w:rsid w:val="008075E4"/>
    <w:rsid w:val="00811F48"/>
    <w:rsid w:val="00814343"/>
    <w:rsid w:val="0081543C"/>
    <w:rsid w:val="00816C44"/>
    <w:rsid w:val="008176A8"/>
    <w:rsid w:val="008209DD"/>
    <w:rsid w:val="0082196A"/>
    <w:rsid w:val="0082202C"/>
    <w:rsid w:val="0082361E"/>
    <w:rsid w:val="00823EAE"/>
    <w:rsid w:val="00825660"/>
    <w:rsid w:val="0082589C"/>
    <w:rsid w:val="00827E82"/>
    <w:rsid w:val="008302A3"/>
    <w:rsid w:val="00831345"/>
    <w:rsid w:val="008313D3"/>
    <w:rsid w:val="0083288B"/>
    <w:rsid w:val="008338CB"/>
    <w:rsid w:val="0083458B"/>
    <w:rsid w:val="00836E9C"/>
    <w:rsid w:val="00841ED7"/>
    <w:rsid w:val="00842F38"/>
    <w:rsid w:val="008434C4"/>
    <w:rsid w:val="008467DF"/>
    <w:rsid w:val="008504DC"/>
    <w:rsid w:val="008507C4"/>
    <w:rsid w:val="0085436D"/>
    <w:rsid w:val="00857309"/>
    <w:rsid w:val="0086163A"/>
    <w:rsid w:val="00861658"/>
    <w:rsid w:val="00861F4B"/>
    <w:rsid w:val="00862E34"/>
    <w:rsid w:val="008633F1"/>
    <w:rsid w:val="008633F5"/>
    <w:rsid w:val="00863C7B"/>
    <w:rsid w:val="00864C41"/>
    <w:rsid w:val="00865E25"/>
    <w:rsid w:val="00865F78"/>
    <w:rsid w:val="00870BBE"/>
    <w:rsid w:val="0087324D"/>
    <w:rsid w:val="008732AB"/>
    <w:rsid w:val="0087378C"/>
    <w:rsid w:val="0087448F"/>
    <w:rsid w:val="0087750B"/>
    <w:rsid w:val="00880796"/>
    <w:rsid w:val="0088120B"/>
    <w:rsid w:val="008830E5"/>
    <w:rsid w:val="00883BEC"/>
    <w:rsid w:val="008904A6"/>
    <w:rsid w:val="00890BB7"/>
    <w:rsid w:val="008951D5"/>
    <w:rsid w:val="00895675"/>
    <w:rsid w:val="00895E4B"/>
    <w:rsid w:val="008A13CB"/>
    <w:rsid w:val="008A2167"/>
    <w:rsid w:val="008A2C67"/>
    <w:rsid w:val="008A67AD"/>
    <w:rsid w:val="008B0EDD"/>
    <w:rsid w:val="008B4395"/>
    <w:rsid w:val="008B5BB6"/>
    <w:rsid w:val="008B678E"/>
    <w:rsid w:val="008B6B03"/>
    <w:rsid w:val="008C037F"/>
    <w:rsid w:val="008C2CA5"/>
    <w:rsid w:val="008C5F11"/>
    <w:rsid w:val="008D2C2F"/>
    <w:rsid w:val="008D56A0"/>
    <w:rsid w:val="008E180A"/>
    <w:rsid w:val="008E2F14"/>
    <w:rsid w:val="008E412F"/>
    <w:rsid w:val="008E6CCB"/>
    <w:rsid w:val="008E6D65"/>
    <w:rsid w:val="008E7F24"/>
    <w:rsid w:val="008F232C"/>
    <w:rsid w:val="008F509E"/>
    <w:rsid w:val="008F7BA0"/>
    <w:rsid w:val="008F7FF8"/>
    <w:rsid w:val="009000A9"/>
    <w:rsid w:val="00900F5A"/>
    <w:rsid w:val="00901F8D"/>
    <w:rsid w:val="00902341"/>
    <w:rsid w:val="0090319D"/>
    <w:rsid w:val="0090387F"/>
    <w:rsid w:val="00906F5A"/>
    <w:rsid w:val="00907E26"/>
    <w:rsid w:val="00911BD0"/>
    <w:rsid w:val="00911C00"/>
    <w:rsid w:val="009120C5"/>
    <w:rsid w:val="009129A1"/>
    <w:rsid w:val="00913787"/>
    <w:rsid w:val="00916420"/>
    <w:rsid w:val="00920056"/>
    <w:rsid w:val="00921284"/>
    <w:rsid w:val="00927D6F"/>
    <w:rsid w:val="00927DFA"/>
    <w:rsid w:val="00931905"/>
    <w:rsid w:val="009320C2"/>
    <w:rsid w:val="009322D6"/>
    <w:rsid w:val="00932C54"/>
    <w:rsid w:val="00933722"/>
    <w:rsid w:val="00933915"/>
    <w:rsid w:val="00940660"/>
    <w:rsid w:val="00943957"/>
    <w:rsid w:val="00943A58"/>
    <w:rsid w:val="009451D6"/>
    <w:rsid w:val="00945C7D"/>
    <w:rsid w:val="0095153B"/>
    <w:rsid w:val="0095286C"/>
    <w:rsid w:val="00953273"/>
    <w:rsid w:val="00957327"/>
    <w:rsid w:val="009609CB"/>
    <w:rsid w:val="00963890"/>
    <w:rsid w:val="00963BB3"/>
    <w:rsid w:val="0096473E"/>
    <w:rsid w:val="00965F69"/>
    <w:rsid w:val="009660EF"/>
    <w:rsid w:val="00966B7D"/>
    <w:rsid w:val="0096783F"/>
    <w:rsid w:val="00967A85"/>
    <w:rsid w:val="0097000D"/>
    <w:rsid w:val="0097064B"/>
    <w:rsid w:val="00970730"/>
    <w:rsid w:val="00970F06"/>
    <w:rsid w:val="00972C26"/>
    <w:rsid w:val="00973AEB"/>
    <w:rsid w:val="00974627"/>
    <w:rsid w:val="00974AFB"/>
    <w:rsid w:val="00975117"/>
    <w:rsid w:val="009768D6"/>
    <w:rsid w:val="009821F9"/>
    <w:rsid w:val="00983D56"/>
    <w:rsid w:val="00985E1B"/>
    <w:rsid w:val="009863F7"/>
    <w:rsid w:val="00986838"/>
    <w:rsid w:val="00986B5E"/>
    <w:rsid w:val="009902A4"/>
    <w:rsid w:val="00990A77"/>
    <w:rsid w:val="0099194B"/>
    <w:rsid w:val="00993B11"/>
    <w:rsid w:val="00994128"/>
    <w:rsid w:val="00995293"/>
    <w:rsid w:val="00995743"/>
    <w:rsid w:val="009965F4"/>
    <w:rsid w:val="0099693B"/>
    <w:rsid w:val="009976C1"/>
    <w:rsid w:val="00997929"/>
    <w:rsid w:val="00997E6B"/>
    <w:rsid w:val="009A0588"/>
    <w:rsid w:val="009A16F1"/>
    <w:rsid w:val="009A177D"/>
    <w:rsid w:val="009A2FA2"/>
    <w:rsid w:val="009A33C7"/>
    <w:rsid w:val="009A3E55"/>
    <w:rsid w:val="009B28A7"/>
    <w:rsid w:val="009B2D68"/>
    <w:rsid w:val="009B75A1"/>
    <w:rsid w:val="009C22B9"/>
    <w:rsid w:val="009C2846"/>
    <w:rsid w:val="009C42BA"/>
    <w:rsid w:val="009C6DB9"/>
    <w:rsid w:val="009C7555"/>
    <w:rsid w:val="009D110D"/>
    <w:rsid w:val="009D1898"/>
    <w:rsid w:val="009D19B0"/>
    <w:rsid w:val="009D3BB9"/>
    <w:rsid w:val="009D5146"/>
    <w:rsid w:val="009D516A"/>
    <w:rsid w:val="009E01ED"/>
    <w:rsid w:val="009E10F7"/>
    <w:rsid w:val="009E177D"/>
    <w:rsid w:val="009E2828"/>
    <w:rsid w:val="009E412D"/>
    <w:rsid w:val="009E5B11"/>
    <w:rsid w:val="009E683B"/>
    <w:rsid w:val="009E7D87"/>
    <w:rsid w:val="009F1FA9"/>
    <w:rsid w:val="009F20C9"/>
    <w:rsid w:val="009F3C82"/>
    <w:rsid w:val="009F49C3"/>
    <w:rsid w:val="009F4F32"/>
    <w:rsid w:val="009F5560"/>
    <w:rsid w:val="00A01C55"/>
    <w:rsid w:val="00A0265F"/>
    <w:rsid w:val="00A02A21"/>
    <w:rsid w:val="00A02D4D"/>
    <w:rsid w:val="00A030C2"/>
    <w:rsid w:val="00A04D18"/>
    <w:rsid w:val="00A04FEA"/>
    <w:rsid w:val="00A05172"/>
    <w:rsid w:val="00A06C0A"/>
    <w:rsid w:val="00A06FB7"/>
    <w:rsid w:val="00A07D1C"/>
    <w:rsid w:val="00A10672"/>
    <w:rsid w:val="00A10B2A"/>
    <w:rsid w:val="00A1111E"/>
    <w:rsid w:val="00A13522"/>
    <w:rsid w:val="00A135B5"/>
    <w:rsid w:val="00A13BA2"/>
    <w:rsid w:val="00A14163"/>
    <w:rsid w:val="00A16718"/>
    <w:rsid w:val="00A17884"/>
    <w:rsid w:val="00A20C80"/>
    <w:rsid w:val="00A245DC"/>
    <w:rsid w:val="00A24B75"/>
    <w:rsid w:val="00A3154B"/>
    <w:rsid w:val="00A3155A"/>
    <w:rsid w:val="00A3205C"/>
    <w:rsid w:val="00A344A4"/>
    <w:rsid w:val="00A347EA"/>
    <w:rsid w:val="00A3513D"/>
    <w:rsid w:val="00A36187"/>
    <w:rsid w:val="00A36C17"/>
    <w:rsid w:val="00A37ABD"/>
    <w:rsid w:val="00A4008C"/>
    <w:rsid w:val="00A43A4E"/>
    <w:rsid w:val="00A45C68"/>
    <w:rsid w:val="00A47728"/>
    <w:rsid w:val="00A5017F"/>
    <w:rsid w:val="00A507F2"/>
    <w:rsid w:val="00A50833"/>
    <w:rsid w:val="00A5097E"/>
    <w:rsid w:val="00A51FE6"/>
    <w:rsid w:val="00A523A5"/>
    <w:rsid w:val="00A52E0C"/>
    <w:rsid w:val="00A53C0C"/>
    <w:rsid w:val="00A53EF8"/>
    <w:rsid w:val="00A54CE5"/>
    <w:rsid w:val="00A55341"/>
    <w:rsid w:val="00A56493"/>
    <w:rsid w:val="00A56DEA"/>
    <w:rsid w:val="00A60143"/>
    <w:rsid w:val="00A60185"/>
    <w:rsid w:val="00A62663"/>
    <w:rsid w:val="00A636B5"/>
    <w:rsid w:val="00A666ED"/>
    <w:rsid w:val="00A66C43"/>
    <w:rsid w:val="00A70315"/>
    <w:rsid w:val="00A7071C"/>
    <w:rsid w:val="00A73F2C"/>
    <w:rsid w:val="00A7454B"/>
    <w:rsid w:val="00A75759"/>
    <w:rsid w:val="00A75F91"/>
    <w:rsid w:val="00A775FC"/>
    <w:rsid w:val="00A77CD6"/>
    <w:rsid w:val="00A816E6"/>
    <w:rsid w:val="00A832A0"/>
    <w:rsid w:val="00A83B4F"/>
    <w:rsid w:val="00A84C95"/>
    <w:rsid w:val="00A865A5"/>
    <w:rsid w:val="00A91A36"/>
    <w:rsid w:val="00A93002"/>
    <w:rsid w:val="00A94D1B"/>
    <w:rsid w:val="00A95520"/>
    <w:rsid w:val="00A9553B"/>
    <w:rsid w:val="00A97915"/>
    <w:rsid w:val="00AA3ED6"/>
    <w:rsid w:val="00AA46F4"/>
    <w:rsid w:val="00AA47F1"/>
    <w:rsid w:val="00AA66A5"/>
    <w:rsid w:val="00AB17FC"/>
    <w:rsid w:val="00AB1FEE"/>
    <w:rsid w:val="00AB24DF"/>
    <w:rsid w:val="00AB346E"/>
    <w:rsid w:val="00AB4362"/>
    <w:rsid w:val="00AB4B76"/>
    <w:rsid w:val="00AB4DE2"/>
    <w:rsid w:val="00AB61CE"/>
    <w:rsid w:val="00AB6613"/>
    <w:rsid w:val="00AB6D1B"/>
    <w:rsid w:val="00AC312F"/>
    <w:rsid w:val="00AC428B"/>
    <w:rsid w:val="00AC43F3"/>
    <w:rsid w:val="00AC4C16"/>
    <w:rsid w:val="00AC4D31"/>
    <w:rsid w:val="00AC4E3D"/>
    <w:rsid w:val="00AC6BE4"/>
    <w:rsid w:val="00AD0AF0"/>
    <w:rsid w:val="00AD1A34"/>
    <w:rsid w:val="00AD1B43"/>
    <w:rsid w:val="00AD3A1C"/>
    <w:rsid w:val="00AD3B4B"/>
    <w:rsid w:val="00AD4377"/>
    <w:rsid w:val="00AD507C"/>
    <w:rsid w:val="00AD6533"/>
    <w:rsid w:val="00AE1FF7"/>
    <w:rsid w:val="00AE239B"/>
    <w:rsid w:val="00AE297B"/>
    <w:rsid w:val="00AE3005"/>
    <w:rsid w:val="00AE4309"/>
    <w:rsid w:val="00AE4DAF"/>
    <w:rsid w:val="00AF0C28"/>
    <w:rsid w:val="00AF1BA8"/>
    <w:rsid w:val="00AF23F3"/>
    <w:rsid w:val="00AF2524"/>
    <w:rsid w:val="00AF4BB1"/>
    <w:rsid w:val="00AF7664"/>
    <w:rsid w:val="00AF7740"/>
    <w:rsid w:val="00B01BF4"/>
    <w:rsid w:val="00B024B0"/>
    <w:rsid w:val="00B02819"/>
    <w:rsid w:val="00B042EC"/>
    <w:rsid w:val="00B04A93"/>
    <w:rsid w:val="00B04EF4"/>
    <w:rsid w:val="00B05D00"/>
    <w:rsid w:val="00B106D9"/>
    <w:rsid w:val="00B1128D"/>
    <w:rsid w:val="00B11C4F"/>
    <w:rsid w:val="00B11D7B"/>
    <w:rsid w:val="00B12597"/>
    <w:rsid w:val="00B12EE6"/>
    <w:rsid w:val="00B138BE"/>
    <w:rsid w:val="00B14049"/>
    <w:rsid w:val="00B14B4D"/>
    <w:rsid w:val="00B2092E"/>
    <w:rsid w:val="00B2096C"/>
    <w:rsid w:val="00B22D0F"/>
    <w:rsid w:val="00B230FC"/>
    <w:rsid w:val="00B23DF5"/>
    <w:rsid w:val="00B24014"/>
    <w:rsid w:val="00B250E0"/>
    <w:rsid w:val="00B25AF7"/>
    <w:rsid w:val="00B26A00"/>
    <w:rsid w:val="00B309B0"/>
    <w:rsid w:val="00B30C73"/>
    <w:rsid w:val="00B316B5"/>
    <w:rsid w:val="00B318F7"/>
    <w:rsid w:val="00B321CA"/>
    <w:rsid w:val="00B32D3D"/>
    <w:rsid w:val="00B337A5"/>
    <w:rsid w:val="00B346CB"/>
    <w:rsid w:val="00B400B1"/>
    <w:rsid w:val="00B410E8"/>
    <w:rsid w:val="00B4185B"/>
    <w:rsid w:val="00B41BFE"/>
    <w:rsid w:val="00B4439C"/>
    <w:rsid w:val="00B444AC"/>
    <w:rsid w:val="00B451F2"/>
    <w:rsid w:val="00B46343"/>
    <w:rsid w:val="00B4757A"/>
    <w:rsid w:val="00B51D1F"/>
    <w:rsid w:val="00B55541"/>
    <w:rsid w:val="00B557BB"/>
    <w:rsid w:val="00B60B3E"/>
    <w:rsid w:val="00B625D1"/>
    <w:rsid w:val="00B63E19"/>
    <w:rsid w:val="00B64FD7"/>
    <w:rsid w:val="00B666CE"/>
    <w:rsid w:val="00B66B76"/>
    <w:rsid w:val="00B7072B"/>
    <w:rsid w:val="00B7270E"/>
    <w:rsid w:val="00B75700"/>
    <w:rsid w:val="00B76559"/>
    <w:rsid w:val="00B84F87"/>
    <w:rsid w:val="00B90379"/>
    <w:rsid w:val="00B9075E"/>
    <w:rsid w:val="00B91ED3"/>
    <w:rsid w:val="00B92F12"/>
    <w:rsid w:val="00B93463"/>
    <w:rsid w:val="00B95380"/>
    <w:rsid w:val="00B9569B"/>
    <w:rsid w:val="00B95743"/>
    <w:rsid w:val="00B9788A"/>
    <w:rsid w:val="00B97C0B"/>
    <w:rsid w:val="00BA136D"/>
    <w:rsid w:val="00BA3909"/>
    <w:rsid w:val="00BA46BC"/>
    <w:rsid w:val="00BA479A"/>
    <w:rsid w:val="00BA5095"/>
    <w:rsid w:val="00BA6D63"/>
    <w:rsid w:val="00BB1D2A"/>
    <w:rsid w:val="00BB3F21"/>
    <w:rsid w:val="00BB5AA2"/>
    <w:rsid w:val="00BB69B9"/>
    <w:rsid w:val="00BB7EF6"/>
    <w:rsid w:val="00BC1405"/>
    <w:rsid w:val="00BC1DB5"/>
    <w:rsid w:val="00BC31F0"/>
    <w:rsid w:val="00BC4F36"/>
    <w:rsid w:val="00BC56AC"/>
    <w:rsid w:val="00BC61DA"/>
    <w:rsid w:val="00BC6496"/>
    <w:rsid w:val="00BC7ABD"/>
    <w:rsid w:val="00BD0C77"/>
    <w:rsid w:val="00BD0CDF"/>
    <w:rsid w:val="00BD30E3"/>
    <w:rsid w:val="00BD37A7"/>
    <w:rsid w:val="00BD39B5"/>
    <w:rsid w:val="00BD39BF"/>
    <w:rsid w:val="00BD495E"/>
    <w:rsid w:val="00BD5594"/>
    <w:rsid w:val="00BD56F0"/>
    <w:rsid w:val="00BD5F5C"/>
    <w:rsid w:val="00BD7495"/>
    <w:rsid w:val="00BE041F"/>
    <w:rsid w:val="00BE15B0"/>
    <w:rsid w:val="00BE26A1"/>
    <w:rsid w:val="00BE3650"/>
    <w:rsid w:val="00BE399F"/>
    <w:rsid w:val="00BE444D"/>
    <w:rsid w:val="00BE498E"/>
    <w:rsid w:val="00BE4C97"/>
    <w:rsid w:val="00BE6579"/>
    <w:rsid w:val="00BE6C5A"/>
    <w:rsid w:val="00BF2B1D"/>
    <w:rsid w:val="00BF4D2F"/>
    <w:rsid w:val="00BF4EEF"/>
    <w:rsid w:val="00BF50CD"/>
    <w:rsid w:val="00BF6033"/>
    <w:rsid w:val="00BF7155"/>
    <w:rsid w:val="00C006C3"/>
    <w:rsid w:val="00C01EA6"/>
    <w:rsid w:val="00C0211C"/>
    <w:rsid w:val="00C03B0F"/>
    <w:rsid w:val="00C05B38"/>
    <w:rsid w:val="00C077D4"/>
    <w:rsid w:val="00C07B5A"/>
    <w:rsid w:val="00C11406"/>
    <w:rsid w:val="00C1296B"/>
    <w:rsid w:val="00C1350E"/>
    <w:rsid w:val="00C135BF"/>
    <w:rsid w:val="00C14104"/>
    <w:rsid w:val="00C14302"/>
    <w:rsid w:val="00C157A2"/>
    <w:rsid w:val="00C21C31"/>
    <w:rsid w:val="00C2302A"/>
    <w:rsid w:val="00C23B0B"/>
    <w:rsid w:val="00C24A92"/>
    <w:rsid w:val="00C252B6"/>
    <w:rsid w:val="00C25B37"/>
    <w:rsid w:val="00C27477"/>
    <w:rsid w:val="00C27EBE"/>
    <w:rsid w:val="00C32478"/>
    <w:rsid w:val="00C34414"/>
    <w:rsid w:val="00C34990"/>
    <w:rsid w:val="00C3637B"/>
    <w:rsid w:val="00C36411"/>
    <w:rsid w:val="00C36542"/>
    <w:rsid w:val="00C3799D"/>
    <w:rsid w:val="00C429B8"/>
    <w:rsid w:val="00C446B5"/>
    <w:rsid w:val="00C45080"/>
    <w:rsid w:val="00C5174B"/>
    <w:rsid w:val="00C51BD7"/>
    <w:rsid w:val="00C52875"/>
    <w:rsid w:val="00C53BCD"/>
    <w:rsid w:val="00C549D9"/>
    <w:rsid w:val="00C564FC"/>
    <w:rsid w:val="00C613C8"/>
    <w:rsid w:val="00C63323"/>
    <w:rsid w:val="00C65978"/>
    <w:rsid w:val="00C6673C"/>
    <w:rsid w:val="00C66897"/>
    <w:rsid w:val="00C66A5B"/>
    <w:rsid w:val="00C67E8C"/>
    <w:rsid w:val="00C71514"/>
    <w:rsid w:val="00C7223D"/>
    <w:rsid w:val="00C723DD"/>
    <w:rsid w:val="00C72983"/>
    <w:rsid w:val="00C72E68"/>
    <w:rsid w:val="00C73929"/>
    <w:rsid w:val="00C756C0"/>
    <w:rsid w:val="00C762DD"/>
    <w:rsid w:val="00C765A2"/>
    <w:rsid w:val="00C807D5"/>
    <w:rsid w:val="00C81103"/>
    <w:rsid w:val="00C81A66"/>
    <w:rsid w:val="00C82451"/>
    <w:rsid w:val="00C82CCF"/>
    <w:rsid w:val="00C853C7"/>
    <w:rsid w:val="00C87099"/>
    <w:rsid w:val="00C87291"/>
    <w:rsid w:val="00C90230"/>
    <w:rsid w:val="00C91B59"/>
    <w:rsid w:val="00C931B4"/>
    <w:rsid w:val="00C95B31"/>
    <w:rsid w:val="00C95E5B"/>
    <w:rsid w:val="00C97352"/>
    <w:rsid w:val="00CA0318"/>
    <w:rsid w:val="00CA2FC6"/>
    <w:rsid w:val="00CA3660"/>
    <w:rsid w:val="00CA422C"/>
    <w:rsid w:val="00CA50F7"/>
    <w:rsid w:val="00CA64AA"/>
    <w:rsid w:val="00CA7ED5"/>
    <w:rsid w:val="00CB0F9C"/>
    <w:rsid w:val="00CB26A5"/>
    <w:rsid w:val="00CB4248"/>
    <w:rsid w:val="00CB4D89"/>
    <w:rsid w:val="00CC1987"/>
    <w:rsid w:val="00CC21DD"/>
    <w:rsid w:val="00CC34E3"/>
    <w:rsid w:val="00CC364C"/>
    <w:rsid w:val="00CC3866"/>
    <w:rsid w:val="00CC556C"/>
    <w:rsid w:val="00CC575E"/>
    <w:rsid w:val="00CC5CE8"/>
    <w:rsid w:val="00CD0D5D"/>
    <w:rsid w:val="00CD1EE1"/>
    <w:rsid w:val="00CD3DC9"/>
    <w:rsid w:val="00CD3F3C"/>
    <w:rsid w:val="00CE0966"/>
    <w:rsid w:val="00CE0B9B"/>
    <w:rsid w:val="00CE27FC"/>
    <w:rsid w:val="00CE36B3"/>
    <w:rsid w:val="00CE724F"/>
    <w:rsid w:val="00CF08E1"/>
    <w:rsid w:val="00CF0D90"/>
    <w:rsid w:val="00CF1A3E"/>
    <w:rsid w:val="00CF2DFC"/>
    <w:rsid w:val="00CF3608"/>
    <w:rsid w:val="00CF5FF6"/>
    <w:rsid w:val="00CF6186"/>
    <w:rsid w:val="00CF6311"/>
    <w:rsid w:val="00CF70BF"/>
    <w:rsid w:val="00D00B2C"/>
    <w:rsid w:val="00D07668"/>
    <w:rsid w:val="00D10207"/>
    <w:rsid w:val="00D11708"/>
    <w:rsid w:val="00D11859"/>
    <w:rsid w:val="00D15EDA"/>
    <w:rsid w:val="00D16FAD"/>
    <w:rsid w:val="00D200E0"/>
    <w:rsid w:val="00D21653"/>
    <w:rsid w:val="00D21FBB"/>
    <w:rsid w:val="00D23C6D"/>
    <w:rsid w:val="00D2509C"/>
    <w:rsid w:val="00D26C90"/>
    <w:rsid w:val="00D3232D"/>
    <w:rsid w:val="00D32F85"/>
    <w:rsid w:val="00D333F6"/>
    <w:rsid w:val="00D37AE3"/>
    <w:rsid w:val="00D40D74"/>
    <w:rsid w:val="00D41371"/>
    <w:rsid w:val="00D433AB"/>
    <w:rsid w:val="00D44744"/>
    <w:rsid w:val="00D454EF"/>
    <w:rsid w:val="00D4633D"/>
    <w:rsid w:val="00D4764D"/>
    <w:rsid w:val="00D51AA3"/>
    <w:rsid w:val="00D51B5A"/>
    <w:rsid w:val="00D522EB"/>
    <w:rsid w:val="00D52661"/>
    <w:rsid w:val="00D531D4"/>
    <w:rsid w:val="00D53392"/>
    <w:rsid w:val="00D53E41"/>
    <w:rsid w:val="00D56E6F"/>
    <w:rsid w:val="00D605F9"/>
    <w:rsid w:val="00D63DE7"/>
    <w:rsid w:val="00D67F8A"/>
    <w:rsid w:val="00D7145E"/>
    <w:rsid w:val="00D725BD"/>
    <w:rsid w:val="00D738F6"/>
    <w:rsid w:val="00D76218"/>
    <w:rsid w:val="00D76EBE"/>
    <w:rsid w:val="00D77640"/>
    <w:rsid w:val="00D7778D"/>
    <w:rsid w:val="00D77D54"/>
    <w:rsid w:val="00D80483"/>
    <w:rsid w:val="00D816D5"/>
    <w:rsid w:val="00D81C25"/>
    <w:rsid w:val="00D83AF2"/>
    <w:rsid w:val="00D84EF5"/>
    <w:rsid w:val="00D85534"/>
    <w:rsid w:val="00D85BBA"/>
    <w:rsid w:val="00D943D6"/>
    <w:rsid w:val="00D94A98"/>
    <w:rsid w:val="00D94FFD"/>
    <w:rsid w:val="00D95B9B"/>
    <w:rsid w:val="00D9752A"/>
    <w:rsid w:val="00DA0C12"/>
    <w:rsid w:val="00DA11BE"/>
    <w:rsid w:val="00DA2F3E"/>
    <w:rsid w:val="00DA4954"/>
    <w:rsid w:val="00DA67AD"/>
    <w:rsid w:val="00DB0EAA"/>
    <w:rsid w:val="00DB0F1E"/>
    <w:rsid w:val="00DB1A39"/>
    <w:rsid w:val="00DB2B4E"/>
    <w:rsid w:val="00DB4078"/>
    <w:rsid w:val="00DB55ED"/>
    <w:rsid w:val="00DC00C2"/>
    <w:rsid w:val="00DC1179"/>
    <w:rsid w:val="00DC431C"/>
    <w:rsid w:val="00DC4CCD"/>
    <w:rsid w:val="00DC5DAE"/>
    <w:rsid w:val="00DC5F83"/>
    <w:rsid w:val="00DC69DE"/>
    <w:rsid w:val="00DC7059"/>
    <w:rsid w:val="00DC7925"/>
    <w:rsid w:val="00DD1AA2"/>
    <w:rsid w:val="00DD1D44"/>
    <w:rsid w:val="00DD258E"/>
    <w:rsid w:val="00DD2986"/>
    <w:rsid w:val="00DD36AF"/>
    <w:rsid w:val="00DD6621"/>
    <w:rsid w:val="00DD6C84"/>
    <w:rsid w:val="00DE2363"/>
    <w:rsid w:val="00DE2D4E"/>
    <w:rsid w:val="00DE3CEE"/>
    <w:rsid w:val="00DE4A79"/>
    <w:rsid w:val="00DE4BCF"/>
    <w:rsid w:val="00DE7014"/>
    <w:rsid w:val="00DF0331"/>
    <w:rsid w:val="00DF0ED2"/>
    <w:rsid w:val="00DF3D56"/>
    <w:rsid w:val="00DF467B"/>
    <w:rsid w:val="00DF48EC"/>
    <w:rsid w:val="00DF50CF"/>
    <w:rsid w:val="00DF6510"/>
    <w:rsid w:val="00DF7F14"/>
    <w:rsid w:val="00E00021"/>
    <w:rsid w:val="00E01467"/>
    <w:rsid w:val="00E0488C"/>
    <w:rsid w:val="00E04E62"/>
    <w:rsid w:val="00E05106"/>
    <w:rsid w:val="00E058CE"/>
    <w:rsid w:val="00E05987"/>
    <w:rsid w:val="00E06438"/>
    <w:rsid w:val="00E06AEF"/>
    <w:rsid w:val="00E06C5F"/>
    <w:rsid w:val="00E06F7B"/>
    <w:rsid w:val="00E10C8C"/>
    <w:rsid w:val="00E11035"/>
    <w:rsid w:val="00E1192B"/>
    <w:rsid w:val="00E12640"/>
    <w:rsid w:val="00E12822"/>
    <w:rsid w:val="00E12887"/>
    <w:rsid w:val="00E13158"/>
    <w:rsid w:val="00E148B7"/>
    <w:rsid w:val="00E1513A"/>
    <w:rsid w:val="00E152B8"/>
    <w:rsid w:val="00E154DE"/>
    <w:rsid w:val="00E159BF"/>
    <w:rsid w:val="00E1797A"/>
    <w:rsid w:val="00E2169B"/>
    <w:rsid w:val="00E248DA"/>
    <w:rsid w:val="00E25991"/>
    <w:rsid w:val="00E26C85"/>
    <w:rsid w:val="00E31C83"/>
    <w:rsid w:val="00E356C6"/>
    <w:rsid w:val="00E36971"/>
    <w:rsid w:val="00E40AA4"/>
    <w:rsid w:val="00E40DE3"/>
    <w:rsid w:val="00E43E6D"/>
    <w:rsid w:val="00E44425"/>
    <w:rsid w:val="00E449BB"/>
    <w:rsid w:val="00E4539F"/>
    <w:rsid w:val="00E45D78"/>
    <w:rsid w:val="00E4769B"/>
    <w:rsid w:val="00E47784"/>
    <w:rsid w:val="00E47792"/>
    <w:rsid w:val="00E51378"/>
    <w:rsid w:val="00E51DB7"/>
    <w:rsid w:val="00E51E91"/>
    <w:rsid w:val="00E52A5A"/>
    <w:rsid w:val="00E55C71"/>
    <w:rsid w:val="00E55CFF"/>
    <w:rsid w:val="00E56E8D"/>
    <w:rsid w:val="00E575A4"/>
    <w:rsid w:val="00E57F5E"/>
    <w:rsid w:val="00E60210"/>
    <w:rsid w:val="00E61C1B"/>
    <w:rsid w:val="00E638FA"/>
    <w:rsid w:val="00E65A78"/>
    <w:rsid w:val="00E668A1"/>
    <w:rsid w:val="00E67F4E"/>
    <w:rsid w:val="00E7043E"/>
    <w:rsid w:val="00E70B47"/>
    <w:rsid w:val="00E72541"/>
    <w:rsid w:val="00E72D4D"/>
    <w:rsid w:val="00E751EF"/>
    <w:rsid w:val="00E76E4E"/>
    <w:rsid w:val="00E7751F"/>
    <w:rsid w:val="00E8069C"/>
    <w:rsid w:val="00E806E5"/>
    <w:rsid w:val="00E81329"/>
    <w:rsid w:val="00E83A01"/>
    <w:rsid w:val="00E846BE"/>
    <w:rsid w:val="00E848FE"/>
    <w:rsid w:val="00E85F39"/>
    <w:rsid w:val="00E9056B"/>
    <w:rsid w:val="00E9170B"/>
    <w:rsid w:val="00E925EB"/>
    <w:rsid w:val="00E93DDE"/>
    <w:rsid w:val="00E94D0D"/>
    <w:rsid w:val="00E95343"/>
    <w:rsid w:val="00E97333"/>
    <w:rsid w:val="00EA053E"/>
    <w:rsid w:val="00EA261C"/>
    <w:rsid w:val="00EA3ACF"/>
    <w:rsid w:val="00EA3BA8"/>
    <w:rsid w:val="00EA44BB"/>
    <w:rsid w:val="00EA4F9E"/>
    <w:rsid w:val="00EA50B0"/>
    <w:rsid w:val="00EA62D1"/>
    <w:rsid w:val="00EA6DC8"/>
    <w:rsid w:val="00EB092F"/>
    <w:rsid w:val="00EB0A4A"/>
    <w:rsid w:val="00EB34BA"/>
    <w:rsid w:val="00EB3C83"/>
    <w:rsid w:val="00EB6D1F"/>
    <w:rsid w:val="00EB77B2"/>
    <w:rsid w:val="00EB7C66"/>
    <w:rsid w:val="00EB7D2B"/>
    <w:rsid w:val="00EC12D4"/>
    <w:rsid w:val="00EC5920"/>
    <w:rsid w:val="00EC6F6C"/>
    <w:rsid w:val="00ED05DA"/>
    <w:rsid w:val="00ED0BC1"/>
    <w:rsid w:val="00ED0D94"/>
    <w:rsid w:val="00ED28CD"/>
    <w:rsid w:val="00ED5006"/>
    <w:rsid w:val="00ED58A5"/>
    <w:rsid w:val="00ED6C19"/>
    <w:rsid w:val="00ED6FA2"/>
    <w:rsid w:val="00EE1831"/>
    <w:rsid w:val="00EE1D8A"/>
    <w:rsid w:val="00EE31F9"/>
    <w:rsid w:val="00EE4683"/>
    <w:rsid w:val="00EE4F12"/>
    <w:rsid w:val="00EE50B3"/>
    <w:rsid w:val="00EE532A"/>
    <w:rsid w:val="00EE67FD"/>
    <w:rsid w:val="00EE6AD3"/>
    <w:rsid w:val="00EE7947"/>
    <w:rsid w:val="00EF027B"/>
    <w:rsid w:val="00EF02CC"/>
    <w:rsid w:val="00EF1B11"/>
    <w:rsid w:val="00EF1D9F"/>
    <w:rsid w:val="00EF2416"/>
    <w:rsid w:val="00EF3BDD"/>
    <w:rsid w:val="00EF40AC"/>
    <w:rsid w:val="00EF56A9"/>
    <w:rsid w:val="00F00E42"/>
    <w:rsid w:val="00F02BC1"/>
    <w:rsid w:val="00F04DBA"/>
    <w:rsid w:val="00F04E50"/>
    <w:rsid w:val="00F06F63"/>
    <w:rsid w:val="00F10E0D"/>
    <w:rsid w:val="00F14A5F"/>
    <w:rsid w:val="00F16700"/>
    <w:rsid w:val="00F17D68"/>
    <w:rsid w:val="00F212AF"/>
    <w:rsid w:val="00F2197E"/>
    <w:rsid w:val="00F22768"/>
    <w:rsid w:val="00F25944"/>
    <w:rsid w:val="00F26B5F"/>
    <w:rsid w:val="00F26B7A"/>
    <w:rsid w:val="00F273FF"/>
    <w:rsid w:val="00F27CAE"/>
    <w:rsid w:val="00F3043E"/>
    <w:rsid w:val="00F31427"/>
    <w:rsid w:val="00F31B28"/>
    <w:rsid w:val="00F31B92"/>
    <w:rsid w:val="00F32547"/>
    <w:rsid w:val="00F3319D"/>
    <w:rsid w:val="00F33757"/>
    <w:rsid w:val="00F346D1"/>
    <w:rsid w:val="00F4041B"/>
    <w:rsid w:val="00F415C7"/>
    <w:rsid w:val="00F428DA"/>
    <w:rsid w:val="00F42E69"/>
    <w:rsid w:val="00F431E3"/>
    <w:rsid w:val="00F454E3"/>
    <w:rsid w:val="00F46492"/>
    <w:rsid w:val="00F4791E"/>
    <w:rsid w:val="00F5005F"/>
    <w:rsid w:val="00F500EE"/>
    <w:rsid w:val="00F51ABC"/>
    <w:rsid w:val="00F51D97"/>
    <w:rsid w:val="00F51E9D"/>
    <w:rsid w:val="00F53504"/>
    <w:rsid w:val="00F55061"/>
    <w:rsid w:val="00F57C7A"/>
    <w:rsid w:val="00F6102A"/>
    <w:rsid w:val="00F613B2"/>
    <w:rsid w:val="00F62EC9"/>
    <w:rsid w:val="00F64980"/>
    <w:rsid w:val="00F64E51"/>
    <w:rsid w:val="00F6692B"/>
    <w:rsid w:val="00F704F6"/>
    <w:rsid w:val="00F72025"/>
    <w:rsid w:val="00F7207D"/>
    <w:rsid w:val="00F72CC7"/>
    <w:rsid w:val="00F742DB"/>
    <w:rsid w:val="00F742F7"/>
    <w:rsid w:val="00F772D3"/>
    <w:rsid w:val="00F80006"/>
    <w:rsid w:val="00F80B08"/>
    <w:rsid w:val="00F80D22"/>
    <w:rsid w:val="00F82882"/>
    <w:rsid w:val="00F86478"/>
    <w:rsid w:val="00F8729B"/>
    <w:rsid w:val="00F906C3"/>
    <w:rsid w:val="00F90700"/>
    <w:rsid w:val="00F91600"/>
    <w:rsid w:val="00F9337D"/>
    <w:rsid w:val="00F938E3"/>
    <w:rsid w:val="00F94DFD"/>
    <w:rsid w:val="00F954D6"/>
    <w:rsid w:val="00F969B1"/>
    <w:rsid w:val="00F9723F"/>
    <w:rsid w:val="00FA0A63"/>
    <w:rsid w:val="00FA3D2A"/>
    <w:rsid w:val="00FA4E26"/>
    <w:rsid w:val="00FB037F"/>
    <w:rsid w:val="00FB3917"/>
    <w:rsid w:val="00FB5D68"/>
    <w:rsid w:val="00FB6205"/>
    <w:rsid w:val="00FB6F11"/>
    <w:rsid w:val="00FB71E0"/>
    <w:rsid w:val="00FB7BEB"/>
    <w:rsid w:val="00FC13BE"/>
    <w:rsid w:val="00FC5229"/>
    <w:rsid w:val="00FC57A8"/>
    <w:rsid w:val="00FC640B"/>
    <w:rsid w:val="00FD0B83"/>
    <w:rsid w:val="00FD1550"/>
    <w:rsid w:val="00FD1C4A"/>
    <w:rsid w:val="00FD2CB9"/>
    <w:rsid w:val="00FD30E4"/>
    <w:rsid w:val="00FD64D2"/>
    <w:rsid w:val="00FD74F7"/>
    <w:rsid w:val="00FE0189"/>
    <w:rsid w:val="00FE061B"/>
    <w:rsid w:val="00FE0C63"/>
    <w:rsid w:val="00FE40BC"/>
    <w:rsid w:val="00FE462E"/>
    <w:rsid w:val="00FE58AD"/>
    <w:rsid w:val="00FF012A"/>
    <w:rsid w:val="00FF043E"/>
    <w:rsid w:val="00FF15CC"/>
    <w:rsid w:val="00FF1666"/>
    <w:rsid w:val="00FF1E36"/>
    <w:rsid w:val="00FF32C2"/>
    <w:rsid w:val="00FF4B56"/>
    <w:rsid w:val="00FF4E26"/>
    <w:rsid w:val="00FF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9DE6FE"/>
  <w15:chartTrackingRefBased/>
  <w15:docId w15:val="{4A5C4DBD-E721-429A-9B59-40639F91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70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9A6"/>
    <w:rPr>
      <w:rFonts w:ascii="Segoe UI" w:hAnsi="Segoe UI" w:cs="Segoe UI"/>
      <w:sz w:val="18"/>
      <w:szCs w:val="18"/>
    </w:rPr>
  </w:style>
  <w:style w:type="character" w:styleId="CommentReference">
    <w:name w:val="annotation reference"/>
    <w:basedOn w:val="DefaultParagraphFont"/>
    <w:uiPriority w:val="99"/>
    <w:semiHidden/>
    <w:unhideWhenUsed/>
    <w:rsid w:val="00AE4309"/>
    <w:rPr>
      <w:sz w:val="16"/>
      <w:szCs w:val="16"/>
    </w:rPr>
  </w:style>
  <w:style w:type="paragraph" w:styleId="CommentText">
    <w:name w:val="annotation text"/>
    <w:basedOn w:val="Normal"/>
    <w:link w:val="CommentTextChar"/>
    <w:uiPriority w:val="99"/>
    <w:semiHidden/>
    <w:unhideWhenUsed/>
    <w:rsid w:val="00AE4309"/>
    <w:pPr>
      <w:spacing w:line="240" w:lineRule="auto"/>
    </w:pPr>
    <w:rPr>
      <w:sz w:val="20"/>
      <w:szCs w:val="20"/>
    </w:rPr>
  </w:style>
  <w:style w:type="character" w:customStyle="1" w:styleId="CommentTextChar">
    <w:name w:val="Comment Text Char"/>
    <w:basedOn w:val="DefaultParagraphFont"/>
    <w:link w:val="CommentText"/>
    <w:uiPriority w:val="99"/>
    <w:semiHidden/>
    <w:rsid w:val="00AE4309"/>
    <w:rPr>
      <w:sz w:val="20"/>
      <w:szCs w:val="20"/>
    </w:rPr>
  </w:style>
  <w:style w:type="paragraph" w:styleId="CommentSubject">
    <w:name w:val="annotation subject"/>
    <w:basedOn w:val="CommentText"/>
    <w:next w:val="CommentText"/>
    <w:link w:val="CommentSubjectChar"/>
    <w:uiPriority w:val="99"/>
    <w:semiHidden/>
    <w:unhideWhenUsed/>
    <w:rsid w:val="00AE4309"/>
    <w:rPr>
      <w:b/>
      <w:bCs/>
    </w:rPr>
  </w:style>
  <w:style w:type="character" w:customStyle="1" w:styleId="CommentSubjectChar">
    <w:name w:val="Comment Subject Char"/>
    <w:basedOn w:val="CommentTextChar"/>
    <w:link w:val="CommentSubject"/>
    <w:uiPriority w:val="99"/>
    <w:semiHidden/>
    <w:rsid w:val="00AE4309"/>
    <w:rPr>
      <w:b/>
      <w:bCs/>
      <w:sz w:val="20"/>
      <w:szCs w:val="20"/>
    </w:rPr>
  </w:style>
  <w:style w:type="paragraph" w:styleId="Header">
    <w:name w:val="header"/>
    <w:basedOn w:val="Normal"/>
    <w:link w:val="HeaderChar"/>
    <w:uiPriority w:val="99"/>
    <w:unhideWhenUsed/>
    <w:rsid w:val="00DE7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014"/>
  </w:style>
  <w:style w:type="paragraph" w:styleId="Footer">
    <w:name w:val="footer"/>
    <w:basedOn w:val="Normal"/>
    <w:link w:val="FooterChar"/>
    <w:uiPriority w:val="99"/>
    <w:unhideWhenUsed/>
    <w:rsid w:val="00DE7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014"/>
  </w:style>
  <w:style w:type="character" w:styleId="Hyperlink">
    <w:name w:val="Hyperlink"/>
    <w:basedOn w:val="DefaultParagraphFont"/>
    <w:uiPriority w:val="99"/>
    <w:unhideWhenUsed/>
    <w:rsid w:val="00672476"/>
    <w:rPr>
      <w:color w:val="0000FF"/>
      <w:u w:val="single"/>
    </w:rPr>
  </w:style>
  <w:style w:type="table" w:styleId="TableGrid">
    <w:name w:val="Table Grid"/>
    <w:basedOn w:val="TableNormal"/>
    <w:uiPriority w:val="39"/>
    <w:rsid w:val="0099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2D21"/>
    <w:rPr>
      <w:color w:val="954F72" w:themeColor="followedHyperlink"/>
      <w:u w:val="single"/>
    </w:rPr>
  </w:style>
  <w:style w:type="paragraph" w:styleId="ListParagraph">
    <w:name w:val="List Paragraph"/>
    <w:basedOn w:val="Normal"/>
    <w:uiPriority w:val="34"/>
    <w:qFormat/>
    <w:rsid w:val="00F16700"/>
    <w:pPr>
      <w:spacing w:after="0" w:line="240" w:lineRule="auto"/>
      <w:ind w:left="720"/>
      <w:contextualSpacing/>
    </w:pPr>
    <w:rPr>
      <w:rFonts w:ascii="Arial" w:eastAsia="Times New Roman" w:hAnsi="Arial" w:cs="Times New Roman"/>
      <w:sz w:val="24"/>
      <w:szCs w:val="20"/>
    </w:rPr>
  </w:style>
  <w:style w:type="character" w:customStyle="1" w:styleId="apple-converted-space">
    <w:name w:val="apple-converted-space"/>
    <w:basedOn w:val="DefaultParagraphFont"/>
    <w:rsid w:val="006C7A98"/>
  </w:style>
  <w:style w:type="character" w:styleId="UnresolvedMention">
    <w:name w:val="Unresolved Mention"/>
    <w:basedOn w:val="DefaultParagraphFont"/>
    <w:uiPriority w:val="99"/>
    <w:semiHidden/>
    <w:unhideWhenUsed/>
    <w:rsid w:val="00306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138">
      <w:bodyDiv w:val="1"/>
      <w:marLeft w:val="0"/>
      <w:marRight w:val="0"/>
      <w:marTop w:val="0"/>
      <w:marBottom w:val="0"/>
      <w:divBdr>
        <w:top w:val="none" w:sz="0" w:space="0" w:color="auto"/>
        <w:left w:val="none" w:sz="0" w:space="0" w:color="auto"/>
        <w:bottom w:val="none" w:sz="0" w:space="0" w:color="auto"/>
        <w:right w:val="none" w:sz="0" w:space="0" w:color="auto"/>
      </w:divBdr>
    </w:div>
    <w:div w:id="12072772">
      <w:bodyDiv w:val="1"/>
      <w:marLeft w:val="0"/>
      <w:marRight w:val="0"/>
      <w:marTop w:val="0"/>
      <w:marBottom w:val="0"/>
      <w:divBdr>
        <w:top w:val="none" w:sz="0" w:space="0" w:color="auto"/>
        <w:left w:val="none" w:sz="0" w:space="0" w:color="auto"/>
        <w:bottom w:val="none" w:sz="0" w:space="0" w:color="auto"/>
        <w:right w:val="none" w:sz="0" w:space="0" w:color="auto"/>
      </w:divBdr>
    </w:div>
    <w:div w:id="21561480">
      <w:bodyDiv w:val="1"/>
      <w:marLeft w:val="0"/>
      <w:marRight w:val="0"/>
      <w:marTop w:val="0"/>
      <w:marBottom w:val="0"/>
      <w:divBdr>
        <w:top w:val="none" w:sz="0" w:space="0" w:color="auto"/>
        <w:left w:val="none" w:sz="0" w:space="0" w:color="auto"/>
        <w:bottom w:val="none" w:sz="0" w:space="0" w:color="auto"/>
        <w:right w:val="none" w:sz="0" w:space="0" w:color="auto"/>
      </w:divBdr>
    </w:div>
    <w:div w:id="48500290">
      <w:bodyDiv w:val="1"/>
      <w:marLeft w:val="0"/>
      <w:marRight w:val="0"/>
      <w:marTop w:val="0"/>
      <w:marBottom w:val="0"/>
      <w:divBdr>
        <w:top w:val="none" w:sz="0" w:space="0" w:color="auto"/>
        <w:left w:val="none" w:sz="0" w:space="0" w:color="auto"/>
        <w:bottom w:val="none" w:sz="0" w:space="0" w:color="auto"/>
        <w:right w:val="none" w:sz="0" w:space="0" w:color="auto"/>
      </w:divBdr>
    </w:div>
    <w:div w:id="138767811">
      <w:bodyDiv w:val="1"/>
      <w:marLeft w:val="0"/>
      <w:marRight w:val="0"/>
      <w:marTop w:val="0"/>
      <w:marBottom w:val="0"/>
      <w:divBdr>
        <w:top w:val="none" w:sz="0" w:space="0" w:color="auto"/>
        <w:left w:val="none" w:sz="0" w:space="0" w:color="auto"/>
        <w:bottom w:val="none" w:sz="0" w:space="0" w:color="auto"/>
        <w:right w:val="none" w:sz="0" w:space="0" w:color="auto"/>
      </w:divBdr>
    </w:div>
    <w:div w:id="213859439">
      <w:bodyDiv w:val="1"/>
      <w:marLeft w:val="0"/>
      <w:marRight w:val="0"/>
      <w:marTop w:val="0"/>
      <w:marBottom w:val="0"/>
      <w:divBdr>
        <w:top w:val="none" w:sz="0" w:space="0" w:color="auto"/>
        <w:left w:val="none" w:sz="0" w:space="0" w:color="auto"/>
        <w:bottom w:val="none" w:sz="0" w:space="0" w:color="auto"/>
        <w:right w:val="none" w:sz="0" w:space="0" w:color="auto"/>
      </w:divBdr>
    </w:div>
    <w:div w:id="228350100">
      <w:bodyDiv w:val="1"/>
      <w:marLeft w:val="0"/>
      <w:marRight w:val="0"/>
      <w:marTop w:val="0"/>
      <w:marBottom w:val="0"/>
      <w:divBdr>
        <w:top w:val="none" w:sz="0" w:space="0" w:color="auto"/>
        <w:left w:val="none" w:sz="0" w:space="0" w:color="auto"/>
        <w:bottom w:val="none" w:sz="0" w:space="0" w:color="auto"/>
        <w:right w:val="none" w:sz="0" w:space="0" w:color="auto"/>
      </w:divBdr>
    </w:div>
    <w:div w:id="245186264">
      <w:bodyDiv w:val="1"/>
      <w:marLeft w:val="0"/>
      <w:marRight w:val="0"/>
      <w:marTop w:val="0"/>
      <w:marBottom w:val="0"/>
      <w:divBdr>
        <w:top w:val="none" w:sz="0" w:space="0" w:color="auto"/>
        <w:left w:val="none" w:sz="0" w:space="0" w:color="auto"/>
        <w:bottom w:val="none" w:sz="0" w:space="0" w:color="auto"/>
        <w:right w:val="none" w:sz="0" w:space="0" w:color="auto"/>
      </w:divBdr>
    </w:div>
    <w:div w:id="279462428">
      <w:bodyDiv w:val="1"/>
      <w:marLeft w:val="0"/>
      <w:marRight w:val="0"/>
      <w:marTop w:val="0"/>
      <w:marBottom w:val="0"/>
      <w:divBdr>
        <w:top w:val="none" w:sz="0" w:space="0" w:color="auto"/>
        <w:left w:val="none" w:sz="0" w:space="0" w:color="auto"/>
        <w:bottom w:val="none" w:sz="0" w:space="0" w:color="auto"/>
        <w:right w:val="none" w:sz="0" w:space="0" w:color="auto"/>
      </w:divBdr>
    </w:div>
    <w:div w:id="330911746">
      <w:bodyDiv w:val="1"/>
      <w:marLeft w:val="0"/>
      <w:marRight w:val="0"/>
      <w:marTop w:val="0"/>
      <w:marBottom w:val="0"/>
      <w:divBdr>
        <w:top w:val="none" w:sz="0" w:space="0" w:color="auto"/>
        <w:left w:val="none" w:sz="0" w:space="0" w:color="auto"/>
        <w:bottom w:val="none" w:sz="0" w:space="0" w:color="auto"/>
        <w:right w:val="none" w:sz="0" w:space="0" w:color="auto"/>
      </w:divBdr>
    </w:div>
    <w:div w:id="359359941">
      <w:bodyDiv w:val="1"/>
      <w:marLeft w:val="0"/>
      <w:marRight w:val="0"/>
      <w:marTop w:val="0"/>
      <w:marBottom w:val="0"/>
      <w:divBdr>
        <w:top w:val="none" w:sz="0" w:space="0" w:color="auto"/>
        <w:left w:val="none" w:sz="0" w:space="0" w:color="auto"/>
        <w:bottom w:val="none" w:sz="0" w:space="0" w:color="auto"/>
        <w:right w:val="none" w:sz="0" w:space="0" w:color="auto"/>
      </w:divBdr>
    </w:div>
    <w:div w:id="403793598">
      <w:bodyDiv w:val="1"/>
      <w:marLeft w:val="0"/>
      <w:marRight w:val="0"/>
      <w:marTop w:val="0"/>
      <w:marBottom w:val="0"/>
      <w:divBdr>
        <w:top w:val="none" w:sz="0" w:space="0" w:color="auto"/>
        <w:left w:val="none" w:sz="0" w:space="0" w:color="auto"/>
        <w:bottom w:val="none" w:sz="0" w:space="0" w:color="auto"/>
        <w:right w:val="none" w:sz="0" w:space="0" w:color="auto"/>
      </w:divBdr>
    </w:div>
    <w:div w:id="438111266">
      <w:bodyDiv w:val="1"/>
      <w:marLeft w:val="0"/>
      <w:marRight w:val="0"/>
      <w:marTop w:val="0"/>
      <w:marBottom w:val="0"/>
      <w:divBdr>
        <w:top w:val="none" w:sz="0" w:space="0" w:color="auto"/>
        <w:left w:val="none" w:sz="0" w:space="0" w:color="auto"/>
        <w:bottom w:val="none" w:sz="0" w:space="0" w:color="auto"/>
        <w:right w:val="none" w:sz="0" w:space="0" w:color="auto"/>
      </w:divBdr>
    </w:div>
    <w:div w:id="452091766">
      <w:bodyDiv w:val="1"/>
      <w:marLeft w:val="0"/>
      <w:marRight w:val="0"/>
      <w:marTop w:val="0"/>
      <w:marBottom w:val="0"/>
      <w:divBdr>
        <w:top w:val="none" w:sz="0" w:space="0" w:color="auto"/>
        <w:left w:val="none" w:sz="0" w:space="0" w:color="auto"/>
        <w:bottom w:val="none" w:sz="0" w:space="0" w:color="auto"/>
        <w:right w:val="none" w:sz="0" w:space="0" w:color="auto"/>
      </w:divBdr>
    </w:div>
    <w:div w:id="485516050">
      <w:bodyDiv w:val="1"/>
      <w:marLeft w:val="0"/>
      <w:marRight w:val="0"/>
      <w:marTop w:val="0"/>
      <w:marBottom w:val="0"/>
      <w:divBdr>
        <w:top w:val="none" w:sz="0" w:space="0" w:color="auto"/>
        <w:left w:val="none" w:sz="0" w:space="0" w:color="auto"/>
        <w:bottom w:val="none" w:sz="0" w:space="0" w:color="auto"/>
        <w:right w:val="none" w:sz="0" w:space="0" w:color="auto"/>
      </w:divBdr>
    </w:div>
    <w:div w:id="502284209">
      <w:bodyDiv w:val="1"/>
      <w:marLeft w:val="0"/>
      <w:marRight w:val="0"/>
      <w:marTop w:val="0"/>
      <w:marBottom w:val="0"/>
      <w:divBdr>
        <w:top w:val="none" w:sz="0" w:space="0" w:color="auto"/>
        <w:left w:val="none" w:sz="0" w:space="0" w:color="auto"/>
        <w:bottom w:val="none" w:sz="0" w:space="0" w:color="auto"/>
        <w:right w:val="none" w:sz="0" w:space="0" w:color="auto"/>
      </w:divBdr>
    </w:div>
    <w:div w:id="575088784">
      <w:bodyDiv w:val="1"/>
      <w:marLeft w:val="0"/>
      <w:marRight w:val="0"/>
      <w:marTop w:val="0"/>
      <w:marBottom w:val="0"/>
      <w:divBdr>
        <w:top w:val="none" w:sz="0" w:space="0" w:color="auto"/>
        <w:left w:val="none" w:sz="0" w:space="0" w:color="auto"/>
        <w:bottom w:val="none" w:sz="0" w:space="0" w:color="auto"/>
        <w:right w:val="none" w:sz="0" w:space="0" w:color="auto"/>
      </w:divBdr>
      <w:divsChild>
        <w:div w:id="1577547750">
          <w:marLeft w:val="0"/>
          <w:marRight w:val="0"/>
          <w:marTop w:val="0"/>
          <w:marBottom w:val="0"/>
          <w:divBdr>
            <w:top w:val="none" w:sz="0" w:space="0" w:color="auto"/>
            <w:left w:val="none" w:sz="0" w:space="0" w:color="auto"/>
            <w:bottom w:val="none" w:sz="0" w:space="0" w:color="auto"/>
            <w:right w:val="none" w:sz="0" w:space="0" w:color="auto"/>
          </w:divBdr>
        </w:div>
      </w:divsChild>
    </w:div>
    <w:div w:id="596913210">
      <w:bodyDiv w:val="1"/>
      <w:marLeft w:val="0"/>
      <w:marRight w:val="0"/>
      <w:marTop w:val="0"/>
      <w:marBottom w:val="0"/>
      <w:divBdr>
        <w:top w:val="none" w:sz="0" w:space="0" w:color="auto"/>
        <w:left w:val="none" w:sz="0" w:space="0" w:color="auto"/>
        <w:bottom w:val="none" w:sz="0" w:space="0" w:color="auto"/>
        <w:right w:val="none" w:sz="0" w:space="0" w:color="auto"/>
      </w:divBdr>
    </w:div>
    <w:div w:id="599289949">
      <w:bodyDiv w:val="1"/>
      <w:marLeft w:val="0"/>
      <w:marRight w:val="0"/>
      <w:marTop w:val="0"/>
      <w:marBottom w:val="0"/>
      <w:divBdr>
        <w:top w:val="none" w:sz="0" w:space="0" w:color="auto"/>
        <w:left w:val="none" w:sz="0" w:space="0" w:color="auto"/>
        <w:bottom w:val="none" w:sz="0" w:space="0" w:color="auto"/>
        <w:right w:val="none" w:sz="0" w:space="0" w:color="auto"/>
      </w:divBdr>
    </w:div>
    <w:div w:id="600799799">
      <w:bodyDiv w:val="1"/>
      <w:marLeft w:val="0"/>
      <w:marRight w:val="0"/>
      <w:marTop w:val="0"/>
      <w:marBottom w:val="0"/>
      <w:divBdr>
        <w:top w:val="none" w:sz="0" w:space="0" w:color="auto"/>
        <w:left w:val="none" w:sz="0" w:space="0" w:color="auto"/>
        <w:bottom w:val="none" w:sz="0" w:space="0" w:color="auto"/>
        <w:right w:val="none" w:sz="0" w:space="0" w:color="auto"/>
      </w:divBdr>
    </w:div>
    <w:div w:id="602806693">
      <w:bodyDiv w:val="1"/>
      <w:marLeft w:val="0"/>
      <w:marRight w:val="0"/>
      <w:marTop w:val="0"/>
      <w:marBottom w:val="0"/>
      <w:divBdr>
        <w:top w:val="none" w:sz="0" w:space="0" w:color="auto"/>
        <w:left w:val="none" w:sz="0" w:space="0" w:color="auto"/>
        <w:bottom w:val="none" w:sz="0" w:space="0" w:color="auto"/>
        <w:right w:val="none" w:sz="0" w:space="0" w:color="auto"/>
      </w:divBdr>
    </w:div>
    <w:div w:id="724455022">
      <w:bodyDiv w:val="1"/>
      <w:marLeft w:val="0"/>
      <w:marRight w:val="0"/>
      <w:marTop w:val="0"/>
      <w:marBottom w:val="0"/>
      <w:divBdr>
        <w:top w:val="none" w:sz="0" w:space="0" w:color="auto"/>
        <w:left w:val="none" w:sz="0" w:space="0" w:color="auto"/>
        <w:bottom w:val="none" w:sz="0" w:space="0" w:color="auto"/>
        <w:right w:val="none" w:sz="0" w:space="0" w:color="auto"/>
      </w:divBdr>
    </w:div>
    <w:div w:id="739837947">
      <w:bodyDiv w:val="1"/>
      <w:marLeft w:val="0"/>
      <w:marRight w:val="0"/>
      <w:marTop w:val="0"/>
      <w:marBottom w:val="0"/>
      <w:divBdr>
        <w:top w:val="none" w:sz="0" w:space="0" w:color="auto"/>
        <w:left w:val="none" w:sz="0" w:space="0" w:color="auto"/>
        <w:bottom w:val="none" w:sz="0" w:space="0" w:color="auto"/>
        <w:right w:val="none" w:sz="0" w:space="0" w:color="auto"/>
      </w:divBdr>
    </w:div>
    <w:div w:id="750473232">
      <w:bodyDiv w:val="1"/>
      <w:marLeft w:val="0"/>
      <w:marRight w:val="0"/>
      <w:marTop w:val="0"/>
      <w:marBottom w:val="0"/>
      <w:divBdr>
        <w:top w:val="none" w:sz="0" w:space="0" w:color="auto"/>
        <w:left w:val="none" w:sz="0" w:space="0" w:color="auto"/>
        <w:bottom w:val="none" w:sz="0" w:space="0" w:color="auto"/>
        <w:right w:val="none" w:sz="0" w:space="0" w:color="auto"/>
      </w:divBdr>
    </w:div>
    <w:div w:id="794755842">
      <w:bodyDiv w:val="1"/>
      <w:marLeft w:val="0"/>
      <w:marRight w:val="0"/>
      <w:marTop w:val="0"/>
      <w:marBottom w:val="0"/>
      <w:divBdr>
        <w:top w:val="none" w:sz="0" w:space="0" w:color="auto"/>
        <w:left w:val="none" w:sz="0" w:space="0" w:color="auto"/>
        <w:bottom w:val="none" w:sz="0" w:space="0" w:color="auto"/>
        <w:right w:val="none" w:sz="0" w:space="0" w:color="auto"/>
      </w:divBdr>
      <w:divsChild>
        <w:div w:id="1982224540">
          <w:marLeft w:val="0"/>
          <w:marRight w:val="0"/>
          <w:marTop w:val="0"/>
          <w:marBottom w:val="0"/>
          <w:divBdr>
            <w:top w:val="none" w:sz="0" w:space="0" w:color="auto"/>
            <w:left w:val="none" w:sz="0" w:space="0" w:color="auto"/>
            <w:bottom w:val="none" w:sz="0" w:space="0" w:color="auto"/>
            <w:right w:val="none" w:sz="0" w:space="0" w:color="auto"/>
          </w:divBdr>
        </w:div>
      </w:divsChild>
    </w:div>
    <w:div w:id="826169899">
      <w:bodyDiv w:val="1"/>
      <w:marLeft w:val="0"/>
      <w:marRight w:val="0"/>
      <w:marTop w:val="0"/>
      <w:marBottom w:val="0"/>
      <w:divBdr>
        <w:top w:val="none" w:sz="0" w:space="0" w:color="auto"/>
        <w:left w:val="none" w:sz="0" w:space="0" w:color="auto"/>
        <w:bottom w:val="none" w:sz="0" w:space="0" w:color="auto"/>
        <w:right w:val="none" w:sz="0" w:space="0" w:color="auto"/>
      </w:divBdr>
    </w:div>
    <w:div w:id="878206559">
      <w:bodyDiv w:val="1"/>
      <w:marLeft w:val="0"/>
      <w:marRight w:val="0"/>
      <w:marTop w:val="0"/>
      <w:marBottom w:val="0"/>
      <w:divBdr>
        <w:top w:val="none" w:sz="0" w:space="0" w:color="auto"/>
        <w:left w:val="none" w:sz="0" w:space="0" w:color="auto"/>
        <w:bottom w:val="none" w:sz="0" w:space="0" w:color="auto"/>
        <w:right w:val="none" w:sz="0" w:space="0" w:color="auto"/>
      </w:divBdr>
    </w:div>
    <w:div w:id="899905228">
      <w:bodyDiv w:val="1"/>
      <w:marLeft w:val="0"/>
      <w:marRight w:val="0"/>
      <w:marTop w:val="0"/>
      <w:marBottom w:val="0"/>
      <w:divBdr>
        <w:top w:val="none" w:sz="0" w:space="0" w:color="auto"/>
        <w:left w:val="none" w:sz="0" w:space="0" w:color="auto"/>
        <w:bottom w:val="none" w:sz="0" w:space="0" w:color="auto"/>
        <w:right w:val="none" w:sz="0" w:space="0" w:color="auto"/>
      </w:divBdr>
    </w:div>
    <w:div w:id="910383446">
      <w:bodyDiv w:val="1"/>
      <w:marLeft w:val="0"/>
      <w:marRight w:val="0"/>
      <w:marTop w:val="0"/>
      <w:marBottom w:val="0"/>
      <w:divBdr>
        <w:top w:val="none" w:sz="0" w:space="0" w:color="auto"/>
        <w:left w:val="none" w:sz="0" w:space="0" w:color="auto"/>
        <w:bottom w:val="none" w:sz="0" w:space="0" w:color="auto"/>
        <w:right w:val="none" w:sz="0" w:space="0" w:color="auto"/>
      </w:divBdr>
    </w:div>
    <w:div w:id="964966347">
      <w:bodyDiv w:val="1"/>
      <w:marLeft w:val="0"/>
      <w:marRight w:val="0"/>
      <w:marTop w:val="0"/>
      <w:marBottom w:val="0"/>
      <w:divBdr>
        <w:top w:val="none" w:sz="0" w:space="0" w:color="auto"/>
        <w:left w:val="none" w:sz="0" w:space="0" w:color="auto"/>
        <w:bottom w:val="none" w:sz="0" w:space="0" w:color="auto"/>
        <w:right w:val="none" w:sz="0" w:space="0" w:color="auto"/>
      </w:divBdr>
    </w:div>
    <w:div w:id="1054698634">
      <w:bodyDiv w:val="1"/>
      <w:marLeft w:val="0"/>
      <w:marRight w:val="0"/>
      <w:marTop w:val="0"/>
      <w:marBottom w:val="0"/>
      <w:divBdr>
        <w:top w:val="none" w:sz="0" w:space="0" w:color="auto"/>
        <w:left w:val="none" w:sz="0" w:space="0" w:color="auto"/>
        <w:bottom w:val="none" w:sz="0" w:space="0" w:color="auto"/>
        <w:right w:val="none" w:sz="0" w:space="0" w:color="auto"/>
      </w:divBdr>
    </w:div>
    <w:div w:id="1055550189">
      <w:bodyDiv w:val="1"/>
      <w:marLeft w:val="0"/>
      <w:marRight w:val="0"/>
      <w:marTop w:val="0"/>
      <w:marBottom w:val="0"/>
      <w:divBdr>
        <w:top w:val="none" w:sz="0" w:space="0" w:color="auto"/>
        <w:left w:val="none" w:sz="0" w:space="0" w:color="auto"/>
        <w:bottom w:val="none" w:sz="0" w:space="0" w:color="auto"/>
        <w:right w:val="none" w:sz="0" w:space="0" w:color="auto"/>
      </w:divBdr>
    </w:div>
    <w:div w:id="1163668329">
      <w:bodyDiv w:val="1"/>
      <w:marLeft w:val="0"/>
      <w:marRight w:val="0"/>
      <w:marTop w:val="0"/>
      <w:marBottom w:val="0"/>
      <w:divBdr>
        <w:top w:val="none" w:sz="0" w:space="0" w:color="auto"/>
        <w:left w:val="none" w:sz="0" w:space="0" w:color="auto"/>
        <w:bottom w:val="none" w:sz="0" w:space="0" w:color="auto"/>
        <w:right w:val="none" w:sz="0" w:space="0" w:color="auto"/>
      </w:divBdr>
    </w:div>
    <w:div w:id="1232961064">
      <w:bodyDiv w:val="1"/>
      <w:marLeft w:val="0"/>
      <w:marRight w:val="0"/>
      <w:marTop w:val="0"/>
      <w:marBottom w:val="0"/>
      <w:divBdr>
        <w:top w:val="none" w:sz="0" w:space="0" w:color="auto"/>
        <w:left w:val="none" w:sz="0" w:space="0" w:color="auto"/>
        <w:bottom w:val="none" w:sz="0" w:space="0" w:color="auto"/>
        <w:right w:val="none" w:sz="0" w:space="0" w:color="auto"/>
      </w:divBdr>
    </w:div>
    <w:div w:id="1410614488">
      <w:bodyDiv w:val="1"/>
      <w:marLeft w:val="0"/>
      <w:marRight w:val="0"/>
      <w:marTop w:val="0"/>
      <w:marBottom w:val="0"/>
      <w:divBdr>
        <w:top w:val="none" w:sz="0" w:space="0" w:color="auto"/>
        <w:left w:val="none" w:sz="0" w:space="0" w:color="auto"/>
        <w:bottom w:val="none" w:sz="0" w:space="0" w:color="auto"/>
        <w:right w:val="none" w:sz="0" w:space="0" w:color="auto"/>
      </w:divBdr>
    </w:div>
    <w:div w:id="1455561637">
      <w:bodyDiv w:val="1"/>
      <w:marLeft w:val="0"/>
      <w:marRight w:val="0"/>
      <w:marTop w:val="0"/>
      <w:marBottom w:val="0"/>
      <w:divBdr>
        <w:top w:val="none" w:sz="0" w:space="0" w:color="auto"/>
        <w:left w:val="none" w:sz="0" w:space="0" w:color="auto"/>
        <w:bottom w:val="none" w:sz="0" w:space="0" w:color="auto"/>
        <w:right w:val="none" w:sz="0" w:space="0" w:color="auto"/>
      </w:divBdr>
    </w:div>
    <w:div w:id="1501920866">
      <w:bodyDiv w:val="1"/>
      <w:marLeft w:val="0"/>
      <w:marRight w:val="0"/>
      <w:marTop w:val="0"/>
      <w:marBottom w:val="0"/>
      <w:divBdr>
        <w:top w:val="none" w:sz="0" w:space="0" w:color="auto"/>
        <w:left w:val="none" w:sz="0" w:space="0" w:color="auto"/>
        <w:bottom w:val="none" w:sz="0" w:space="0" w:color="auto"/>
        <w:right w:val="none" w:sz="0" w:space="0" w:color="auto"/>
      </w:divBdr>
    </w:div>
    <w:div w:id="1559393623">
      <w:bodyDiv w:val="1"/>
      <w:marLeft w:val="0"/>
      <w:marRight w:val="0"/>
      <w:marTop w:val="0"/>
      <w:marBottom w:val="0"/>
      <w:divBdr>
        <w:top w:val="none" w:sz="0" w:space="0" w:color="auto"/>
        <w:left w:val="none" w:sz="0" w:space="0" w:color="auto"/>
        <w:bottom w:val="none" w:sz="0" w:space="0" w:color="auto"/>
        <w:right w:val="none" w:sz="0" w:space="0" w:color="auto"/>
      </w:divBdr>
    </w:div>
    <w:div w:id="1610090197">
      <w:bodyDiv w:val="1"/>
      <w:marLeft w:val="0"/>
      <w:marRight w:val="0"/>
      <w:marTop w:val="0"/>
      <w:marBottom w:val="0"/>
      <w:divBdr>
        <w:top w:val="none" w:sz="0" w:space="0" w:color="auto"/>
        <w:left w:val="none" w:sz="0" w:space="0" w:color="auto"/>
        <w:bottom w:val="none" w:sz="0" w:space="0" w:color="auto"/>
        <w:right w:val="none" w:sz="0" w:space="0" w:color="auto"/>
      </w:divBdr>
    </w:div>
    <w:div w:id="1660696083">
      <w:bodyDiv w:val="1"/>
      <w:marLeft w:val="0"/>
      <w:marRight w:val="0"/>
      <w:marTop w:val="0"/>
      <w:marBottom w:val="0"/>
      <w:divBdr>
        <w:top w:val="none" w:sz="0" w:space="0" w:color="auto"/>
        <w:left w:val="none" w:sz="0" w:space="0" w:color="auto"/>
        <w:bottom w:val="none" w:sz="0" w:space="0" w:color="auto"/>
        <w:right w:val="none" w:sz="0" w:space="0" w:color="auto"/>
      </w:divBdr>
    </w:div>
    <w:div w:id="1725837723">
      <w:bodyDiv w:val="1"/>
      <w:marLeft w:val="0"/>
      <w:marRight w:val="0"/>
      <w:marTop w:val="0"/>
      <w:marBottom w:val="0"/>
      <w:divBdr>
        <w:top w:val="none" w:sz="0" w:space="0" w:color="auto"/>
        <w:left w:val="none" w:sz="0" w:space="0" w:color="auto"/>
        <w:bottom w:val="none" w:sz="0" w:space="0" w:color="auto"/>
        <w:right w:val="none" w:sz="0" w:space="0" w:color="auto"/>
      </w:divBdr>
    </w:div>
    <w:div w:id="1781559921">
      <w:bodyDiv w:val="1"/>
      <w:marLeft w:val="0"/>
      <w:marRight w:val="0"/>
      <w:marTop w:val="0"/>
      <w:marBottom w:val="0"/>
      <w:divBdr>
        <w:top w:val="none" w:sz="0" w:space="0" w:color="auto"/>
        <w:left w:val="none" w:sz="0" w:space="0" w:color="auto"/>
        <w:bottom w:val="none" w:sz="0" w:space="0" w:color="auto"/>
        <w:right w:val="none" w:sz="0" w:space="0" w:color="auto"/>
      </w:divBdr>
    </w:div>
    <w:div w:id="1789818301">
      <w:bodyDiv w:val="1"/>
      <w:marLeft w:val="0"/>
      <w:marRight w:val="0"/>
      <w:marTop w:val="0"/>
      <w:marBottom w:val="0"/>
      <w:divBdr>
        <w:top w:val="none" w:sz="0" w:space="0" w:color="auto"/>
        <w:left w:val="none" w:sz="0" w:space="0" w:color="auto"/>
        <w:bottom w:val="none" w:sz="0" w:space="0" w:color="auto"/>
        <w:right w:val="none" w:sz="0" w:space="0" w:color="auto"/>
      </w:divBdr>
    </w:div>
    <w:div w:id="1834374842">
      <w:bodyDiv w:val="1"/>
      <w:marLeft w:val="0"/>
      <w:marRight w:val="0"/>
      <w:marTop w:val="0"/>
      <w:marBottom w:val="0"/>
      <w:divBdr>
        <w:top w:val="none" w:sz="0" w:space="0" w:color="auto"/>
        <w:left w:val="none" w:sz="0" w:space="0" w:color="auto"/>
        <w:bottom w:val="none" w:sz="0" w:space="0" w:color="auto"/>
        <w:right w:val="none" w:sz="0" w:space="0" w:color="auto"/>
      </w:divBdr>
    </w:div>
    <w:div w:id="1841391246">
      <w:bodyDiv w:val="1"/>
      <w:marLeft w:val="0"/>
      <w:marRight w:val="0"/>
      <w:marTop w:val="0"/>
      <w:marBottom w:val="0"/>
      <w:divBdr>
        <w:top w:val="none" w:sz="0" w:space="0" w:color="auto"/>
        <w:left w:val="none" w:sz="0" w:space="0" w:color="auto"/>
        <w:bottom w:val="none" w:sz="0" w:space="0" w:color="auto"/>
        <w:right w:val="none" w:sz="0" w:space="0" w:color="auto"/>
      </w:divBdr>
    </w:div>
    <w:div w:id="1879394629">
      <w:bodyDiv w:val="1"/>
      <w:marLeft w:val="0"/>
      <w:marRight w:val="0"/>
      <w:marTop w:val="0"/>
      <w:marBottom w:val="0"/>
      <w:divBdr>
        <w:top w:val="none" w:sz="0" w:space="0" w:color="auto"/>
        <w:left w:val="none" w:sz="0" w:space="0" w:color="auto"/>
        <w:bottom w:val="none" w:sz="0" w:space="0" w:color="auto"/>
        <w:right w:val="none" w:sz="0" w:space="0" w:color="auto"/>
      </w:divBdr>
    </w:div>
    <w:div w:id="1890530510">
      <w:bodyDiv w:val="1"/>
      <w:marLeft w:val="0"/>
      <w:marRight w:val="0"/>
      <w:marTop w:val="0"/>
      <w:marBottom w:val="0"/>
      <w:divBdr>
        <w:top w:val="none" w:sz="0" w:space="0" w:color="auto"/>
        <w:left w:val="none" w:sz="0" w:space="0" w:color="auto"/>
        <w:bottom w:val="none" w:sz="0" w:space="0" w:color="auto"/>
        <w:right w:val="none" w:sz="0" w:space="0" w:color="auto"/>
      </w:divBdr>
    </w:div>
    <w:div w:id="1895118626">
      <w:bodyDiv w:val="1"/>
      <w:marLeft w:val="0"/>
      <w:marRight w:val="0"/>
      <w:marTop w:val="0"/>
      <w:marBottom w:val="0"/>
      <w:divBdr>
        <w:top w:val="none" w:sz="0" w:space="0" w:color="auto"/>
        <w:left w:val="none" w:sz="0" w:space="0" w:color="auto"/>
        <w:bottom w:val="none" w:sz="0" w:space="0" w:color="auto"/>
        <w:right w:val="none" w:sz="0" w:space="0" w:color="auto"/>
      </w:divBdr>
    </w:div>
    <w:div w:id="1931309686">
      <w:bodyDiv w:val="1"/>
      <w:marLeft w:val="0"/>
      <w:marRight w:val="0"/>
      <w:marTop w:val="0"/>
      <w:marBottom w:val="0"/>
      <w:divBdr>
        <w:top w:val="none" w:sz="0" w:space="0" w:color="auto"/>
        <w:left w:val="none" w:sz="0" w:space="0" w:color="auto"/>
        <w:bottom w:val="none" w:sz="0" w:space="0" w:color="auto"/>
        <w:right w:val="none" w:sz="0" w:space="0" w:color="auto"/>
      </w:divBdr>
    </w:div>
    <w:div w:id="1961955974">
      <w:bodyDiv w:val="1"/>
      <w:marLeft w:val="0"/>
      <w:marRight w:val="0"/>
      <w:marTop w:val="0"/>
      <w:marBottom w:val="0"/>
      <w:divBdr>
        <w:top w:val="none" w:sz="0" w:space="0" w:color="auto"/>
        <w:left w:val="none" w:sz="0" w:space="0" w:color="auto"/>
        <w:bottom w:val="none" w:sz="0" w:space="0" w:color="auto"/>
        <w:right w:val="none" w:sz="0" w:space="0" w:color="auto"/>
      </w:divBdr>
    </w:div>
    <w:div w:id="1970477413">
      <w:bodyDiv w:val="1"/>
      <w:marLeft w:val="0"/>
      <w:marRight w:val="0"/>
      <w:marTop w:val="0"/>
      <w:marBottom w:val="0"/>
      <w:divBdr>
        <w:top w:val="none" w:sz="0" w:space="0" w:color="auto"/>
        <w:left w:val="none" w:sz="0" w:space="0" w:color="auto"/>
        <w:bottom w:val="none" w:sz="0" w:space="0" w:color="auto"/>
        <w:right w:val="none" w:sz="0" w:space="0" w:color="auto"/>
      </w:divBdr>
    </w:div>
    <w:div w:id="2034721153">
      <w:bodyDiv w:val="1"/>
      <w:marLeft w:val="0"/>
      <w:marRight w:val="0"/>
      <w:marTop w:val="0"/>
      <w:marBottom w:val="0"/>
      <w:divBdr>
        <w:top w:val="none" w:sz="0" w:space="0" w:color="auto"/>
        <w:left w:val="none" w:sz="0" w:space="0" w:color="auto"/>
        <w:bottom w:val="none" w:sz="0" w:space="0" w:color="auto"/>
        <w:right w:val="none" w:sz="0" w:space="0" w:color="auto"/>
      </w:divBdr>
    </w:div>
    <w:div w:id="2046900233">
      <w:bodyDiv w:val="1"/>
      <w:marLeft w:val="0"/>
      <w:marRight w:val="0"/>
      <w:marTop w:val="0"/>
      <w:marBottom w:val="0"/>
      <w:divBdr>
        <w:top w:val="none" w:sz="0" w:space="0" w:color="auto"/>
        <w:left w:val="none" w:sz="0" w:space="0" w:color="auto"/>
        <w:bottom w:val="none" w:sz="0" w:space="0" w:color="auto"/>
        <w:right w:val="none" w:sz="0" w:space="0" w:color="auto"/>
      </w:divBdr>
    </w:div>
    <w:div w:id="2083680258">
      <w:bodyDiv w:val="1"/>
      <w:marLeft w:val="0"/>
      <w:marRight w:val="0"/>
      <w:marTop w:val="0"/>
      <w:marBottom w:val="0"/>
      <w:divBdr>
        <w:top w:val="none" w:sz="0" w:space="0" w:color="auto"/>
        <w:left w:val="none" w:sz="0" w:space="0" w:color="auto"/>
        <w:bottom w:val="none" w:sz="0" w:space="0" w:color="auto"/>
        <w:right w:val="none" w:sz="0" w:space="0" w:color="auto"/>
      </w:divBdr>
    </w:div>
    <w:div w:id="2110467074">
      <w:bodyDiv w:val="1"/>
      <w:marLeft w:val="0"/>
      <w:marRight w:val="0"/>
      <w:marTop w:val="0"/>
      <w:marBottom w:val="0"/>
      <w:divBdr>
        <w:top w:val="none" w:sz="0" w:space="0" w:color="auto"/>
        <w:left w:val="none" w:sz="0" w:space="0" w:color="auto"/>
        <w:bottom w:val="none" w:sz="0" w:space="0" w:color="auto"/>
        <w:right w:val="none" w:sz="0" w:space="0" w:color="auto"/>
      </w:divBdr>
    </w:div>
    <w:div w:id="2120563877">
      <w:bodyDiv w:val="1"/>
      <w:marLeft w:val="0"/>
      <w:marRight w:val="0"/>
      <w:marTop w:val="0"/>
      <w:marBottom w:val="0"/>
      <w:divBdr>
        <w:top w:val="none" w:sz="0" w:space="0" w:color="auto"/>
        <w:left w:val="none" w:sz="0" w:space="0" w:color="auto"/>
        <w:bottom w:val="none" w:sz="0" w:space="0" w:color="auto"/>
        <w:right w:val="none" w:sz="0" w:space="0" w:color="auto"/>
      </w:divBdr>
      <w:divsChild>
        <w:div w:id="113444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a.org/rate-alerts" TargetMode="External"/><Relationship Id="rId13" Type="http://schemas.openxmlformats.org/officeDocument/2006/relationships/hyperlink" Target="http://dis.puc.state.oh.us/CaseRecord.aspx?Caseno=18-0298&amp;link=DIVA" TargetMode="External"/><Relationship Id="rId18" Type="http://schemas.openxmlformats.org/officeDocument/2006/relationships/hyperlink" Target="https://apps.cpuc.ca.gov/apex/f?p=401:57:0::NO" TargetMode="External"/><Relationship Id="rId3" Type="http://schemas.openxmlformats.org/officeDocument/2006/relationships/styles" Target="styles.xml"/><Relationship Id="rId21" Type="http://schemas.openxmlformats.org/officeDocument/2006/relationships/hyperlink" Target="http://www.aga.org" TargetMode="External"/><Relationship Id="rId7" Type="http://schemas.openxmlformats.org/officeDocument/2006/relationships/endnotes" Target="endnotes.xml"/><Relationship Id="rId12" Type="http://schemas.openxmlformats.org/officeDocument/2006/relationships/hyperlink" Target="http://www.apscservices.info/EFilings/Docket_Search_Documents.asp?Docket=17-010-FR&amp;DocNumVal=249" TargetMode="External"/><Relationship Id="rId17" Type="http://schemas.openxmlformats.org/officeDocument/2006/relationships/hyperlink" Target="http://www.puc.pa.gov/about_puc/consolidated_case_view.aspx?Docket=R-2018-30068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puc.ca.gov/PublishedDocs/Efile/G000/M309/K725/309725360.PDF" TargetMode="External"/><Relationship Id="rId20" Type="http://schemas.openxmlformats.org/officeDocument/2006/relationships/hyperlink" Target="https://mi-psc.force.com/s/case/500t000000CRi4PAAT/in-the-matter-of-the-application-of-consumers-energy-company-for-authority-to-increase-its-rates-for-the-distribution-of-natural-gas-and-for-other-reli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is.psc.mo.gov/mpsc/Docket.asp?caseno=GR-2019-007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pps.psc.wi.gov/vs2015/ERF_search/content/searchResult.aspx?UTIL=4220&amp;CASE=UR&amp;SEQ=124&amp;START=none&amp;END=none&amp;TYPE=none&amp;SERVICE=none&amp;KEY=none&amp;NON=N" TargetMode="External"/><Relationship Id="rId23" Type="http://schemas.openxmlformats.org/officeDocument/2006/relationships/footer" Target="footer1.xml"/><Relationship Id="rId10" Type="http://schemas.openxmlformats.org/officeDocument/2006/relationships/hyperlink" Target="https://www.oklahomanaturalgas.com/media/ONG/Tariffs/1201.pdf" TargetMode="External"/><Relationship Id="rId19" Type="http://schemas.openxmlformats.org/officeDocument/2006/relationships/hyperlink" Target="https://apps.cpuc.ca.gov/apex/f?p=401:57:0::NO" TargetMode="External"/><Relationship Id="rId4" Type="http://schemas.openxmlformats.org/officeDocument/2006/relationships/settings" Target="settings.xml"/><Relationship Id="rId9" Type="http://schemas.openxmlformats.org/officeDocument/2006/relationships/hyperlink" Target="https://www.nmgco.com/en/regulatory_filings" TargetMode="External"/><Relationship Id="rId14" Type="http://schemas.openxmlformats.org/officeDocument/2006/relationships/hyperlink" Target="http://www.scc.virginia.gov/docketsearch"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D2A1-7AD4-4713-BEE3-B3E7D505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12</Pages>
  <Words>4902</Words>
  <Characters>27942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Zuretti</dc:creator>
  <cp:keywords/>
  <dc:description/>
  <cp:lastModifiedBy>Canavan, Frank</cp:lastModifiedBy>
  <cp:revision>19</cp:revision>
  <cp:lastPrinted>2018-04-11T13:26:00Z</cp:lastPrinted>
  <dcterms:created xsi:type="dcterms:W3CDTF">2019-11-07T16:35:00Z</dcterms:created>
  <dcterms:modified xsi:type="dcterms:W3CDTF">2019-11-08T16:43:00Z</dcterms:modified>
</cp:coreProperties>
</file>