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94ECD" w14:textId="77777777" w:rsidR="00DB1A39" w:rsidRPr="001F5597" w:rsidRDefault="00DB1A39" w:rsidP="006C3E85">
      <w:pPr>
        <w:spacing w:line="240" w:lineRule="auto"/>
        <w:contextualSpacing/>
        <w:rPr>
          <w:rFonts w:ascii="Arial" w:hAnsi="Arial" w:cs="Arial"/>
          <w:b/>
          <w:sz w:val="36"/>
          <w:szCs w:val="36"/>
        </w:rPr>
      </w:pPr>
      <w:r w:rsidRPr="001F5597">
        <w:rPr>
          <w:rFonts w:ascii="Arial" w:hAnsi="Arial" w:cs="Arial"/>
          <w:b/>
          <w:sz w:val="36"/>
          <w:szCs w:val="36"/>
        </w:rPr>
        <w:t>A Summary of State Rate &amp; Regulatory Activity</w:t>
      </w:r>
    </w:p>
    <w:p w14:paraId="09C0F102" w14:textId="77777777" w:rsidR="00DB1A39" w:rsidRPr="00B51D1F" w:rsidRDefault="00DB1A39" w:rsidP="006C3E85">
      <w:pPr>
        <w:spacing w:line="240" w:lineRule="auto"/>
        <w:contextualSpacing/>
        <w:rPr>
          <w:rFonts w:ascii="Arial" w:hAnsi="Arial" w:cs="Arial"/>
          <w:b/>
          <w:i/>
          <w:sz w:val="16"/>
          <w:szCs w:val="16"/>
        </w:rPr>
      </w:pPr>
      <w:r w:rsidRPr="00B51D1F">
        <w:rPr>
          <w:rFonts w:ascii="Arial" w:hAnsi="Arial" w:cs="Arial"/>
          <w:b/>
          <w:i/>
          <w:sz w:val="16"/>
          <w:szCs w:val="16"/>
        </w:rPr>
        <w:t>A Publication for AGA Members</w:t>
      </w:r>
    </w:p>
    <w:p w14:paraId="49EA87BB" w14:textId="77777777" w:rsidR="00DB1A39" w:rsidRPr="00B51D1F" w:rsidRDefault="00DB1A39" w:rsidP="004A4C05">
      <w:pPr>
        <w:spacing w:line="240" w:lineRule="auto"/>
        <w:contextualSpacing/>
        <w:rPr>
          <w:rFonts w:ascii="Arial" w:hAnsi="Arial" w:cs="Arial"/>
          <w:i/>
        </w:rPr>
      </w:pPr>
      <w:r w:rsidRPr="00B51D1F">
        <w:rPr>
          <w:rFonts w:ascii="Arial" w:hAnsi="Arial" w:cs="Arial"/>
          <w:i/>
        </w:rPr>
        <w:t>This document is intended to provide AGA members with a summary of information relative to state rate and regulatory proceedings and other related matters on a timely basis.  Additional information and archived versions of the Rate &amp; Regulatory Update can be found at the following web link:</w:t>
      </w:r>
      <w:r w:rsidR="001F5597">
        <w:rPr>
          <w:rFonts w:ascii="Arial" w:hAnsi="Arial" w:cs="Arial"/>
          <w:i/>
        </w:rPr>
        <w:t xml:space="preserve"> </w:t>
      </w:r>
      <w:hyperlink r:id="rId8" w:history="1">
        <w:r w:rsidRPr="00B51D1F">
          <w:rPr>
            <w:rStyle w:val="Hyperlink"/>
            <w:rFonts w:ascii="Arial" w:hAnsi="Arial" w:cs="Arial"/>
            <w:i/>
          </w:rPr>
          <w:t>https://www.aga.org/rate-alerts</w:t>
        </w:r>
      </w:hyperlink>
      <w:r w:rsidRPr="00B51D1F">
        <w:rPr>
          <w:rFonts w:ascii="Arial" w:hAnsi="Arial" w:cs="Arial"/>
          <w:i/>
        </w:rPr>
        <w:t xml:space="preserve"> </w:t>
      </w:r>
    </w:p>
    <w:p w14:paraId="4565FF01" w14:textId="77777777" w:rsidR="008A2C67" w:rsidRPr="00B51D1F" w:rsidRDefault="008A2C67" w:rsidP="004A4C05">
      <w:pPr>
        <w:spacing w:line="240" w:lineRule="auto"/>
        <w:contextualSpacing/>
        <w:rPr>
          <w:rFonts w:ascii="Arial" w:hAnsi="Arial" w:cs="Arial"/>
          <w:i/>
        </w:rPr>
      </w:pPr>
    </w:p>
    <w:tbl>
      <w:tblPr>
        <w:tblStyle w:val="TableGrid"/>
        <w:tblW w:w="9895" w:type="dxa"/>
        <w:tblLook w:val="04A0" w:firstRow="1" w:lastRow="0" w:firstColumn="1" w:lastColumn="0" w:noHBand="0" w:noVBand="1"/>
      </w:tblPr>
      <w:tblGrid>
        <w:gridCol w:w="2245"/>
        <w:gridCol w:w="7650"/>
      </w:tblGrid>
      <w:tr w:rsidR="00EE50B3" w:rsidRPr="00B51D1F" w14:paraId="672BBED0" w14:textId="77777777" w:rsidTr="004E793E">
        <w:trPr>
          <w:trHeight w:val="279"/>
        </w:trPr>
        <w:tc>
          <w:tcPr>
            <w:tcW w:w="9895" w:type="dxa"/>
            <w:gridSpan w:val="2"/>
            <w:shd w:val="clear" w:color="auto" w:fill="1F4E79" w:themeFill="accent1" w:themeFillShade="80"/>
          </w:tcPr>
          <w:p w14:paraId="74F49CAE" w14:textId="77777777" w:rsidR="00EE50B3" w:rsidRPr="001F5597" w:rsidRDefault="00EE50B3" w:rsidP="00684717">
            <w:pPr>
              <w:jc w:val="center"/>
              <w:rPr>
                <w:rFonts w:ascii="Arial" w:hAnsi="Arial" w:cs="Arial"/>
                <w:b/>
                <w:color w:val="FFFFFF" w:themeColor="background1"/>
                <w:sz w:val="36"/>
                <w:szCs w:val="36"/>
              </w:rPr>
            </w:pPr>
            <w:r w:rsidRPr="001F5597">
              <w:rPr>
                <w:rFonts w:ascii="Arial" w:hAnsi="Arial" w:cs="Arial"/>
                <w:b/>
                <w:color w:val="FFFFFF" w:themeColor="background1"/>
                <w:sz w:val="36"/>
                <w:szCs w:val="36"/>
              </w:rPr>
              <w:t>Rate Case Data</w:t>
            </w:r>
            <w:r w:rsidR="00DE3CEE" w:rsidRPr="001F5597">
              <w:rPr>
                <w:rFonts w:ascii="Arial" w:hAnsi="Arial" w:cs="Arial"/>
                <w:b/>
                <w:color w:val="FFFFFF" w:themeColor="background1"/>
                <w:sz w:val="36"/>
                <w:szCs w:val="36"/>
              </w:rPr>
              <w:t xml:space="preserve"> for t</w:t>
            </w:r>
            <w:r w:rsidRPr="001F5597">
              <w:rPr>
                <w:rFonts w:ascii="Arial" w:hAnsi="Arial" w:cs="Arial"/>
                <w:b/>
                <w:color w:val="FFFFFF" w:themeColor="background1"/>
                <w:sz w:val="36"/>
                <w:szCs w:val="36"/>
              </w:rPr>
              <w:t>his Period</w:t>
            </w:r>
          </w:p>
        </w:tc>
      </w:tr>
      <w:tr w:rsidR="00EE50B3" w:rsidRPr="00B51D1F" w14:paraId="17D4B0F1" w14:textId="77777777" w:rsidTr="002E5982">
        <w:trPr>
          <w:trHeight w:val="279"/>
        </w:trPr>
        <w:tc>
          <w:tcPr>
            <w:tcW w:w="2245" w:type="dxa"/>
            <w:shd w:val="clear" w:color="auto" w:fill="1F4E79" w:themeFill="accent1" w:themeFillShade="80"/>
          </w:tcPr>
          <w:p w14:paraId="1444184B" w14:textId="77777777" w:rsidR="00EE50B3" w:rsidRPr="00B51D1F" w:rsidRDefault="00EE50B3" w:rsidP="00EE50B3">
            <w:pPr>
              <w:rPr>
                <w:rFonts w:ascii="Arial" w:hAnsi="Arial" w:cs="Arial"/>
                <w:b/>
                <w:color w:val="FFFFFF" w:themeColor="background1"/>
              </w:rPr>
            </w:pPr>
            <w:r w:rsidRPr="00B51D1F">
              <w:rPr>
                <w:rFonts w:ascii="Arial" w:hAnsi="Arial" w:cs="Arial"/>
                <w:b/>
                <w:color w:val="FFFFFF" w:themeColor="background1"/>
              </w:rPr>
              <w:t>Orders Issued</w:t>
            </w:r>
          </w:p>
        </w:tc>
        <w:tc>
          <w:tcPr>
            <w:tcW w:w="7650" w:type="dxa"/>
            <w:tcBorders>
              <w:bottom w:val="single" w:sz="4" w:space="0" w:color="auto"/>
            </w:tcBorders>
            <w:shd w:val="clear" w:color="auto" w:fill="auto"/>
          </w:tcPr>
          <w:p w14:paraId="1364A9D9" w14:textId="77777777" w:rsidR="00EE50B3" w:rsidRPr="00B51D1F" w:rsidRDefault="00CD5878" w:rsidP="000C1B88">
            <w:pPr>
              <w:tabs>
                <w:tab w:val="left" w:pos="780"/>
              </w:tabs>
              <w:rPr>
                <w:rFonts w:ascii="Arial" w:hAnsi="Arial" w:cs="Arial"/>
              </w:rPr>
            </w:pPr>
            <w:r>
              <w:rPr>
                <w:rFonts w:ascii="Arial" w:hAnsi="Arial" w:cs="Arial"/>
              </w:rPr>
              <w:t>2</w:t>
            </w:r>
            <w:r w:rsidR="00997B94">
              <w:rPr>
                <w:rFonts w:ascii="Arial" w:hAnsi="Arial" w:cs="Arial"/>
              </w:rPr>
              <w:t>8</w:t>
            </w:r>
          </w:p>
        </w:tc>
      </w:tr>
      <w:tr w:rsidR="00EE50B3" w:rsidRPr="00B51D1F" w14:paraId="24711B45" w14:textId="77777777" w:rsidTr="002E5982">
        <w:trPr>
          <w:trHeight w:val="279"/>
        </w:trPr>
        <w:tc>
          <w:tcPr>
            <w:tcW w:w="2245" w:type="dxa"/>
            <w:shd w:val="clear" w:color="auto" w:fill="1F4E79" w:themeFill="accent1" w:themeFillShade="80"/>
          </w:tcPr>
          <w:p w14:paraId="5594CF7D" w14:textId="77777777" w:rsidR="00EE50B3" w:rsidRPr="00B51D1F" w:rsidRDefault="00EE50B3" w:rsidP="00EE50B3">
            <w:pPr>
              <w:rPr>
                <w:rFonts w:ascii="Arial" w:hAnsi="Arial" w:cs="Arial"/>
                <w:b/>
                <w:color w:val="FFFFFF" w:themeColor="background1"/>
              </w:rPr>
            </w:pPr>
            <w:r w:rsidRPr="00B51D1F">
              <w:rPr>
                <w:rFonts w:ascii="Arial" w:hAnsi="Arial" w:cs="Arial"/>
                <w:b/>
                <w:color w:val="FFFFFF" w:themeColor="background1"/>
              </w:rPr>
              <w:t>Average ROE</w:t>
            </w:r>
            <w:r w:rsidR="002B206B" w:rsidRPr="00B51D1F">
              <w:rPr>
                <w:rFonts w:ascii="Arial" w:hAnsi="Arial" w:cs="Arial"/>
                <w:b/>
                <w:color w:val="FFFFFF" w:themeColor="background1"/>
              </w:rPr>
              <w:t xml:space="preserve"> </w:t>
            </w:r>
          </w:p>
        </w:tc>
        <w:tc>
          <w:tcPr>
            <w:tcW w:w="7650" w:type="dxa"/>
            <w:shd w:val="clear" w:color="auto" w:fill="auto"/>
          </w:tcPr>
          <w:p w14:paraId="48E8C241" w14:textId="77777777" w:rsidR="00EE50B3" w:rsidRPr="00B51D1F" w:rsidRDefault="00250761" w:rsidP="00E8069C">
            <w:pPr>
              <w:rPr>
                <w:rFonts w:ascii="Arial" w:hAnsi="Arial" w:cs="Arial"/>
              </w:rPr>
            </w:pPr>
            <w:r>
              <w:rPr>
                <w:rFonts w:ascii="Arial" w:hAnsi="Arial" w:cs="Arial"/>
              </w:rPr>
              <w:t>9.73%</w:t>
            </w:r>
          </w:p>
        </w:tc>
      </w:tr>
      <w:tr w:rsidR="006B0973" w:rsidRPr="00B51D1F" w14:paraId="241214A1" w14:textId="77777777" w:rsidTr="004E793E">
        <w:trPr>
          <w:trHeight w:val="279"/>
        </w:trPr>
        <w:tc>
          <w:tcPr>
            <w:tcW w:w="9895" w:type="dxa"/>
            <w:gridSpan w:val="2"/>
            <w:tcBorders>
              <w:bottom w:val="single" w:sz="4" w:space="0" w:color="auto"/>
            </w:tcBorders>
            <w:shd w:val="clear" w:color="auto" w:fill="1F4E79" w:themeFill="accent1" w:themeFillShade="80"/>
          </w:tcPr>
          <w:p w14:paraId="222FEFDF" w14:textId="77777777" w:rsidR="006B0973" w:rsidRPr="00B51D1F" w:rsidRDefault="006B0973" w:rsidP="007E1100">
            <w:pPr>
              <w:rPr>
                <w:rFonts w:ascii="Arial" w:hAnsi="Arial" w:cs="Arial"/>
                <w:b/>
              </w:rPr>
            </w:pPr>
            <w:r w:rsidRPr="00B51D1F">
              <w:rPr>
                <w:rFonts w:ascii="Arial" w:hAnsi="Arial" w:cs="Arial"/>
                <w:b/>
                <w:color w:val="FFFFFF" w:themeColor="background1"/>
              </w:rPr>
              <w:t>Trends and Analysis</w:t>
            </w:r>
          </w:p>
        </w:tc>
      </w:tr>
      <w:tr w:rsidR="006B0973" w:rsidRPr="00B51D1F" w14:paraId="7F48CBFF" w14:textId="77777777" w:rsidTr="00BD7495">
        <w:trPr>
          <w:trHeight w:val="800"/>
        </w:trPr>
        <w:tc>
          <w:tcPr>
            <w:tcW w:w="9895" w:type="dxa"/>
            <w:gridSpan w:val="2"/>
            <w:tcBorders>
              <w:bottom w:val="single" w:sz="4" w:space="0" w:color="auto"/>
            </w:tcBorders>
            <w:shd w:val="clear" w:color="auto" w:fill="auto"/>
          </w:tcPr>
          <w:p w14:paraId="64AE3D6D" w14:textId="77777777" w:rsidR="00244BAD" w:rsidRDefault="00244BAD" w:rsidP="00244BAD">
            <w:pPr>
              <w:tabs>
                <w:tab w:val="left" w:pos="3285"/>
              </w:tabs>
              <w:rPr>
                <w:rFonts w:ascii="Arial" w:hAnsi="Arial" w:cs="Arial"/>
              </w:rPr>
            </w:pPr>
            <w:r w:rsidRPr="00244BAD">
              <w:rPr>
                <w:rFonts w:ascii="Arial" w:hAnsi="Arial" w:cs="Arial"/>
              </w:rPr>
              <w:t xml:space="preserve">The average ROE authorized gas utilities </w:t>
            </w:r>
            <w:proofErr w:type="gramStart"/>
            <w:r w:rsidRPr="00244BAD">
              <w:rPr>
                <w:rFonts w:ascii="Arial" w:hAnsi="Arial" w:cs="Arial"/>
              </w:rPr>
              <w:t>was</w:t>
            </w:r>
            <w:proofErr w:type="gramEnd"/>
            <w:r w:rsidRPr="00244BAD">
              <w:rPr>
                <w:rFonts w:ascii="Arial" w:hAnsi="Arial" w:cs="Arial"/>
              </w:rPr>
              <w:t xml:space="preserve"> 9.</w:t>
            </w:r>
            <w:r w:rsidR="00D8552D">
              <w:rPr>
                <w:rFonts w:ascii="Arial" w:hAnsi="Arial" w:cs="Arial"/>
              </w:rPr>
              <w:t>73</w:t>
            </w:r>
            <w:r w:rsidRPr="00244BAD">
              <w:rPr>
                <w:rFonts w:ascii="Arial" w:hAnsi="Arial" w:cs="Arial"/>
              </w:rPr>
              <w:t xml:space="preserve">% in the </w:t>
            </w:r>
            <w:r w:rsidR="00D8552D">
              <w:rPr>
                <w:rFonts w:ascii="Arial" w:hAnsi="Arial" w:cs="Arial"/>
              </w:rPr>
              <w:t>fourth</w:t>
            </w:r>
            <w:r w:rsidRPr="00244BAD">
              <w:rPr>
                <w:rFonts w:ascii="Arial" w:hAnsi="Arial" w:cs="Arial"/>
              </w:rPr>
              <w:t xml:space="preserve"> quarter of 2019 compared to 9.</w:t>
            </w:r>
            <w:r w:rsidR="00D8552D">
              <w:rPr>
                <w:rFonts w:ascii="Arial" w:hAnsi="Arial" w:cs="Arial"/>
              </w:rPr>
              <w:t>94</w:t>
            </w:r>
            <w:r w:rsidRPr="00244BAD">
              <w:rPr>
                <w:rFonts w:ascii="Arial" w:hAnsi="Arial" w:cs="Arial"/>
              </w:rPr>
              <w:t xml:space="preserve">% in </w:t>
            </w:r>
            <w:r>
              <w:rPr>
                <w:rFonts w:ascii="Arial" w:hAnsi="Arial" w:cs="Arial"/>
              </w:rPr>
              <w:t xml:space="preserve">the </w:t>
            </w:r>
            <w:r w:rsidR="00D8552D">
              <w:rPr>
                <w:rFonts w:ascii="Arial" w:hAnsi="Arial" w:cs="Arial"/>
              </w:rPr>
              <w:t>third</w:t>
            </w:r>
            <w:r w:rsidRPr="00244BAD">
              <w:rPr>
                <w:rFonts w:ascii="Arial" w:hAnsi="Arial" w:cs="Arial"/>
              </w:rPr>
              <w:t xml:space="preserve"> </w:t>
            </w:r>
            <w:r>
              <w:rPr>
                <w:rFonts w:ascii="Arial" w:hAnsi="Arial" w:cs="Arial"/>
              </w:rPr>
              <w:t>quarter</w:t>
            </w:r>
            <w:r w:rsidRPr="00244BAD">
              <w:rPr>
                <w:rFonts w:ascii="Arial" w:hAnsi="Arial" w:cs="Arial"/>
              </w:rPr>
              <w:t>.</w:t>
            </w:r>
            <w:r>
              <w:rPr>
                <w:rFonts w:ascii="Arial" w:hAnsi="Arial" w:cs="Arial"/>
              </w:rPr>
              <w:t xml:space="preserve"> </w:t>
            </w:r>
            <w:r w:rsidR="00D8552D">
              <w:rPr>
                <w:rFonts w:ascii="Arial" w:hAnsi="Arial" w:cs="Arial"/>
              </w:rPr>
              <w:t>Twenty-two</w:t>
            </w:r>
            <w:r>
              <w:rPr>
                <w:rFonts w:ascii="Arial" w:hAnsi="Arial" w:cs="Arial"/>
              </w:rPr>
              <w:t xml:space="preserve"> of the rate cases decided this quarter contained a</w:t>
            </w:r>
            <w:r w:rsidR="00ED6C19">
              <w:rPr>
                <w:rFonts w:ascii="Arial" w:hAnsi="Arial" w:cs="Arial"/>
              </w:rPr>
              <w:t xml:space="preserve"> definitive</w:t>
            </w:r>
            <w:r>
              <w:rPr>
                <w:rFonts w:ascii="Arial" w:hAnsi="Arial" w:cs="Arial"/>
              </w:rPr>
              <w:t xml:space="preserve"> ROE determination.</w:t>
            </w:r>
            <w:r w:rsidRPr="00244BAD">
              <w:rPr>
                <w:rFonts w:ascii="Arial" w:hAnsi="Arial" w:cs="Arial"/>
              </w:rPr>
              <w:t xml:space="preserve"> </w:t>
            </w:r>
            <w:r w:rsidR="00B12EE6" w:rsidRPr="00B12EE6">
              <w:rPr>
                <w:rFonts w:ascii="Arial" w:hAnsi="Arial" w:cs="Arial"/>
              </w:rPr>
              <w:t xml:space="preserve">The average ROE authorized </w:t>
            </w:r>
            <w:r w:rsidR="009863F7">
              <w:rPr>
                <w:rFonts w:ascii="Arial" w:hAnsi="Arial" w:cs="Arial"/>
              </w:rPr>
              <w:t xml:space="preserve">for </w:t>
            </w:r>
            <w:r w:rsidR="00B12EE6" w:rsidRPr="00B12EE6">
              <w:rPr>
                <w:rFonts w:ascii="Arial" w:hAnsi="Arial" w:cs="Arial"/>
              </w:rPr>
              <w:t>gas utilities was 9.</w:t>
            </w:r>
            <w:r w:rsidR="006D148F">
              <w:rPr>
                <w:rFonts w:ascii="Arial" w:hAnsi="Arial" w:cs="Arial"/>
              </w:rPr>
              <w:t>71</w:t>
            </w:r>
            <w:r w:rsidR="00B12EE6" w:rsidRPr="00B12EE6">
              <w:rPr>
                <w:rFonts w:ascii="Arial" w:hAnsi="Arial" w:cs="Arial"/>
              </w:rPr>
              <w:t>% in cases decided during 2019, above the 9.59% in full-year 2018. T</w:t>
            </w:r>
            <w:r w:rsidR="00D8552D">
              <w:rPr>
                <w:rFonts w:ascii="Arial" w:hAnsi="Arial" w:cs="Arial"/>
              </w:rPr>
              <w:t>hirty-two</w:t>
            </w:r>
            <w:r w:rsidR="00B12EE6" w:rsidRPr="00B12EE6">
              <w:rPr>
                <w:rFonts w:ascii="Arial" w:hAnsi="Arial" w:cs="Arial"/>
              </w:rPr>
              <w:t xml:space="preserve"> gas cases included </w:t>
            </w:r>
            <w:proofErr w:type="gramStart"/>
            <w:r w:rsidR="00B12EE6" w:rsidRPr="00B12EE6">
              <w:rPr>
                <w:rFonts w:ascii="Arial" w:hAnsi="Arial" w:cs="Arial"/>
              </w:rPr>
              <w:t>an</w:t>
            </w:r>
            <w:proofErr w:type="gramEnd"/>
            <w:r w:rsidR="00B12EE6" w:rsidRPr="00B12EE6">
              <w:rPr>
                <w:rFonts w:ascii="Arial" w:hAnsi="Arial" w:cs="Arial"/>
              </w:rPr>
              <w:t xml:space="preserve"> ROE determination in 2019, versus 40 in 2018.</w:t>
            </w:r>
            <w:r w:rsidR="00B12EE6" w:rsidRPr="00B12EE6">
              <w:t xml:space="preserve"> </w:t>
            </w:r>
            <w:r w:rsidR="006D148F">
              <w:rPr>
                <w:rFonts w:ascii="Arial" w:hAnsi="Arial" w:cs="Arial"/>
              </w:rPr>
              <w:t>Many of</w:t>
            </w:r>
            <w:r w:rsidR="00D8552D">
              <w:rPr>
                <w:rFonts w:ascii="Arial" w:hAnsi="Arial" w:cs="Arial"/>
              </w:rPr>
              <w:t xml:space="preserve"> those determinations occurred in the final quarter.</w:t>
            </w:r>
          </w:p>
          <w:p w14:paraId="0B776FBE" w14:textId="77777777" w:rsidR="00D8552D" w:rsidRDefault="00D8552D" w:rsidP="00244BAD">
            <w:pPr>
              <w:tabs>
                <w:tab w:val="left" w:pos="3285"/>
              </w:tabs>
              <w:rPr>
                <w:rFonts w:ascii="Arial" w:hAnsi="Arial" w:cs="Arial"/>
              </w:rPr>
            </w:pPr>
          </w:p>
          <w:p w14:paraId="00068A25" w14:textId="77777777" w:rsidR="006D148F" w:rsidRDefault="00D8552D" w:rsidP="006D148F">
            <w:pPr>
              <w:tabs>
                <w:tab w:val="left" w:pos="3285"/>
              </w:tabs>
              <w:rPr>
                <w:rFonts w:ascii="Arial" w:hAnsi="Arial" w:cs="Arial"/>
              </w:rPr>
            </w:pPr>
            <w:r w:rsidRPr="00D8552D">
              <w:rPr>
                <w:rFonts w:ascii="Arial" w:hAnsi="Arial" w:cs="Arial"/>
              </w:rPr>
              <w:t>Requested and authorized ROEs have generally trended downward over the past several years. For all cases that were</w:t>
            </w:r>
            <w:r>
              <w:rPr>
                <w:rFonts w:ascii="Arial" w:hAnsi="Arial" w:cs="Arial"/>
              </w:rPr>
              <w:t xml:space="preserve"> </w:t>
            </w:r>
            <w:r w:rsidRPr="00D8552D">
              <w:rPr>
                <w:rFonts w:ascii="Arial" w:hAnsi="Arial" w:cs="Arial"/>
              </w:rPr>
              <w:t>initiated thus far in 2019, the average requested ROE was 10.3% for gas companies versus 12.4% in 2000.</w:t>
            </w:r>
            <w:r w:rsidR="004F4F92">
              <w:rPr>
                <w:rFonts w:ascii="Arial" w:hAnsi="Arial" w:cs="Arial"/>
              </w:rPr>
              <w:t xml:space="preserve"> </w:t>
            </w:r>
            <w:r w:rsidR="006D148F" w:rsidRPr="006D148F">
              <w:rPr>
                <w:rFonts w:ascii="Arial" w:hAnsi="Arial" w:cs="Arial"/>
              </w:rPr>
              <w:t>This</w:t>
            </w:r>
            <w:r w:rsidR="006D148F">
              <w:rPr>
                <w:rFonts w:ascii="Arial" w:hAnsi="Arial" w:cs="Arial"/>
              </w:rPr>
              <w:t xml:space="preserve"> </w:t>
            </w:r>
            <w:r w:rsidR="006D148F" w:rsidRPr="006D148F">
              <w:rPr>
                <w:rFonts w:ascii="Arial" w:hAnsi="Arial" w:cs="Arial"/>
              </w:rPr>
              <w:t>trend has been driven by a low-interest-rate environment perpetuated by the Federal Reserve’s quantitative easing</w:t>
            </w:r>
            <w:r w:rsidR="006D148F">
              <w:rPr>
                <w:rFonts w:ascii="Arial" w:hAnsi="Arial" w:cs="Arial"/>
              </w:rPr>
              <w:t xml:space="preserve"> </w:t>
            </w:r>
            <w:r w:rsidR="006D148F" w:rsidRPr="006D148F">
              <w:rPr>
                <w:rFonts w:ascii="Arial" w:hAnsi="Arial" w:cs="Arial"/>
              </w:rPr>
              <w:t>strategy and regulators’ view that, due to the proliferation of expedited recovery mechanisms that reduce the busines</w:t>
            </w:r>
            <w:r w:rsidR="006D148F">
              <w:rPr>
                <w:rFonts w:ascii="Arial" w:hAnsi="Arial" w:cs="Arial"/>
              </w:rPr>
              <w:t xml:space="preserve">s </w:t>
            </w:r>
            <w:r w:rsidR="006D148F" w:rsidRPr="006D148F">
              <w:rPr>
                <w:rFonts w:ascii="Arial" w:hAnsi="Arial" w:cs="Arial"/>
              </w:rPr>
              <w:t>risk of the utilities, lower returns are warranted.</w:t>
            </w:r>
          </w:p>
          <w:p w14:paraId="15EE50CF" w14:textId="77777777" w:rsidR="00244BAD" w:rsidRDefault="00244BAD" w:rsidP="00C1350E">
            <w:pPr>
              <w:tabs>
                <w:tab w:val="left" w:pos="3285"/>
              </w:tabs>
              <w:rPr>
                <w:rFonts w:ascii="Arial" w:hAnsi="Arial" w:cs="Arial"/>
              </w:rPr>
            </w:pPr>
          </w:p>
          <w:p w14:paraId="729EE4D9" w14:textId="77777777" w:rsidR="003E0A98" w:rsidRDefault="006D148F" w:rsidP="00C1350E">
            <w:pPr>
              <w:tabs>
                <w:tab w:val="left" w:pos="3285"/>
              </w:tabs>
              <w:rPr>
                <w:rFonts w:ascii="Arial" w:hAnsi="Arial" w:cs="Arial"/>
              </w:rPr>
            </w:pPr>
            <w:r w:rsidRPr="006D148F">
              <w:rPr>
                <w:rFonts w:ascii="Arial" w:hAnsi="Arial" w:cs="Arial"/>
              </w:rPr>
              <w:t xml:space="preserve">While there are initiatives in a handful of states to build out gas infrastructure to serve areas where gas heating is not available, spending is primarily dedicated to activities aimed at improving service to existing customers </w:t>
            </w:r>
            <w:r w:rsidR="00D8753C">
              <w:rPr>
                <w:rFonts w:ascii="Arial" w:hAnsi="Arial" w:cs="Arial"/>
              </w:rPr>
              <w:t xml:space="preserve">through </w:t>
            </w:r>
            <w:r w:rsidRPr="006D148F">
              <w:rPr>
                <w:rFonts w:ascii="Arial" w:hAnsi="Arial" w:cs="Arial"/>
              </w:rPr>
              <w:t>main replacement, storm restoration, reliability and system hardening, physical safety and security, cybersecurity and deployment of new technologies.</w:t>
            </w:r>
          </w:p>
          <w:p w14:paraId="54BE438C" w14:textId="77777777" w:rsidR="006D148F" w:rsidRDefault="006D148F" w:rsidP="00C1350E">
            <w:pPr>
              <w:tabs>
                <w:tab w:val="left" w:pos="3285"/>
              </w:tabs>
              <w:rPr>
                <w:rFonts w:ascii="Arial" w:hAnsi="Arial" w:cs="Arial"/>
              </w:rPr>
            </w:pPr>
          </w:p>
          <w:p w14:paraId="22323D15" w14:textId="77777777" w:rsidR="006D148F" w:rsidRPr="00063A04" w:rsidRDefault="006D148F" w:rsidP="006D148F">
            <w:pPr>
              <w:tabs>
                <w:tab w:val="left" w:pos="3285"/>
              </w:tabs>
              <w:rPr>
                <w:rFonts w:ascii="Arial" w:hAnsi="Arial" w:cs="Arial"/>
              </w:rPr>
            </w:pPr>
            <w:r w:rsidRPr="006D148F">
              <w:rPr>
                <w:rFonts w:ascii="Arial" w:hAnsi="Arial" w:cs="Arial"/>
              </w:rPr>
              <w:t xml:space="preserve">Rising capital spending for non-revenue-producing investments is a major driver of the heightened level of rate case activity observed since 2010. Other factors include rising employee wages and benefits expenses, post-employment benefit costs, rising state and local taxes, and flat or declining per-customer usage due to energy conservation initiatives. </w:t>
            </w:r>
          </w:p>
          <w:p w14:paraId="7C5E25B1" w14:textId="77777777" w:rsidR="000B5134" w:rsidRDefault="000B5134" w:rsidP="00C1350E">
            <w:pPr>
              <w:tabs>
                <w:tab w:val="left" w:pos="3285"/>
              </w:tabs>
              <w:rPr>
                <w:rFonts w:ascii="Arial" w:hAnsi="Arial" w:cs="Arial"/>
              </w:rPr>
            </w:pPr>
          </w:p>
          <w:p w14:paraId="42D8FA0D" w14:textId="0B36C9CF" w:rsidR="000B5134" w:rsidRDefault="006D148F" w:rsidP="006D148F">
            <w:pPr>
              <w:tabs>
                <w:tab w:val="left" w:pos="3285"/>
              </w:tabs>
              <w:rPr>
                <w:rFonts w:ascii="Arial" w:hAnsi="Arial" w:cs="Arial"/>
              </w:rPr>
            </w:pPr>
            <w:r w:rsidRPr="006D148F">
              <w:rPr>
                <w:rFonts w:ascii="Arial" w:hAnsi="Arial" w:cs="Arial"/>
              </w:rPr>
              <w:t>The level of capital spending, persistent rate case activity and interest rate volatility has intensified the scrutiny given to authorized ROEs in recent years.</w:t>
            </w:r>
            <w:r>
              <w:rPr>
                <w:rFonts w:ascii="Arial" w:hAnsi="Arial" w:cs="Arial"/>
              </w:rPr>
              <w:t xml:space="preserve"> </w:t>
            </w:r>
            <w:r w:rsidRPr="006D148F">
              <w:rPr>
                <w:rFonts w:ascii="Arial" w:hAnsi="Arial" w:cs="Arial"/>
              </w:rPr>
              <w:t xml:space="preserve">While impacted by interest rate movements, authorized ROEs do not move in lock step with interest rates; there is generally a lag due to the amount of time it takes for a utility to put together a filing supporting higher interest rates and for the commission to complete its review of the case. In addition, rate cases look at the totality of the company's cost of service, and so, a change in interest rates may not be sufficient </w:t>
            </w:r>
            <w:bookmarkStart w:id="0" w:name="_GoBack"/>
            <w:bookmarkEnd w:id="0"/>
            <w:r w:rsidRPr="006D148F">
              <w:rPr>
                <w:rFonts w:ascii="Arial" w:hAnsi="Arial" w:cs="Arial"/>
              </w:rPr>
              <w:t>for the company to deem initiating a rate case worthwhile.</w:t>
            </w:r>
          </w:p>
          <w:p w14:paraId="18FD9D37" w14:textId="77777777" w:rsidR="006D148F" w:rsidRDefault="006D148F" w:rsidP="006D148F">
            <w:pPr>
              <w:tabs>
                <w:tab w:val="left" w:pos="3285"/>
              </w:tabs>
              <w:rPr>
                <w:rFonts w:ascii="Arial" w:hAnsi="Arial" w:cs="Arial"/>
              </w:rPr>
            </w:pPr>
          </w:p>
          <w:p w14:paraId="54850E50" w14:textId="77777777" w:rsidR="006D148F" w:rsidRDefault="006D148F" w:rsidP="006D148F">
            <w:pPr>
              <w:tabs>
                <w:tab w:val="left" w:pos="3285"/>
              </w:tabs>
              <w:rPr>
                <w:rFonts w:ascii="Arial" w:hAnsi="Arial" w:cs="Arial"/>
              </w:rPr>
            </w:pPr>
            <w:r w:rsidRPr="006D148F">
              <w:rPr>
                <w:rFonts w:ascii="Arial" w:hAnsi="Arial" w:cs="Arial"/>
              </w:rPr>
              <w:lastRenderedPageBreak/>
              <w:t>Changes to the basic structure of the traditional process are being employed to mitigate regulatory lag, but these are often difficult to achieve, requiring legislative authority. Even in situations where the legislature is on board, stakeholders and commissioners may be slow to embrace the new concepts, and there may be unintended consequences, such as a reduction in authorized ROE — whether implicit or explicit — to reflect the perceived reduced risk associated with these mechanisms.</w:t>
            </w:r>
            <w:r>
              <w:rPr>
                <w:rFonts w:ascii="Arial" w:hAnsi="Arial" w:cs="Arial"/>
              </w:rPr>
              <w:t xml:space="preserve"> </w:t>
            </w:r>
            <w:r w:rsidRPr="006D148F">
              <w:rPr>
                <w:rFonts w:ascii="Arial" w:hAnsi="Arial" w:cs="Arial"/>
              </w:rPr>
              <w:t>Outside of changes to the rate case process, adjustment clauses</w:t>
            </w:r>
            <w:r w:rsidR="001930FC">
              <w:rPr>
                <w:rFonts w:ascii="Arial" w:hAnsi="Arial" w:cs="Arial"/>
              </w:rPr>
              <w:t xml:space="preserve"> and revenue decoupling mechanisms are increasingly being utilized as another method of reducing regulatory lag.</w:t>
            </w:r>
            <w:r w:rsidR="001930FC" w:rsidRPr="001930FC">
              <w:rPr>
                <w:rFonts w:ascii="Helvetica" w:hAnsi="Helvetica" w:cs="Helvetica"/>
                <w:color w:val="000000"/>
                <w:sz w:val="21"/>
                <w:szCs w:val="21"/>
                <w:shd w:val="clear" w:color="auto" w:fill="FFFFFF"/>
              </w:rPr>
              <w:t xml:space="preserve"> </w:t>
            </w:r>
            <w:r w:rsidR="001801B3">
              <w:rPr>
                <w:rFonts w:ascii="Helvetica" w:hAnsi="Helvetica" w:cs="Helvetica"/>
                <w:color w:val="000000"/>
                <w:sz w:val="21"/>
                <w:szCs w:val="21"/>
                <w:shd w:val="clear" w:color="auto" w:fill="FFFFFF"/>
              </w:rPr>
              <w:t>However, a</w:t>
            </w:r>
            <w:r w:rsidR="001930FC" w:rsidRPr="001930FC">
              <w:rPr>
                <w:rFonts w:ascii="Arial" w:hAnsi="Arial" w:cs="Arial"/>
              </w:rPr>
              <w:t xml:space="preserve">n unintended consequence of the proliferation of these types of mechanisms is that intervenors use them </w:t>
            </w:r>
            <w:proofErr w:type="gramStart"/>
            <w:r w:rsidR="001930FC" w:rsidRPr="001930FC">
              <w:rPr>
                <w:rFonts w:ascii="Arial" w:hAnsi="Arial" w:cs="Arial"/>
              </w:rPr>
              <w:t>as a means to</w:t>
            </w:r>
            <w:proofErr w:type="gramEnd"/>
            <w:r w:rsidR="001930FC" w:rsidRPr="001930FC">
              <w:rPr>
                <w:rFonts w:ascii="Arial" w:hAnsi="Arial" w:cs="Arial"/>
              </w:rPr>
              <w:t xml:space="preserve"> justify lower ROEs as they are perceived to transfer risk from shareholders to ratepayers.</w:t>
            </w:r>
          </w:p>
          <w:p w14:paraId="0F82E9E8" w14:textId="77777777" w:rsidR="001930FC" w:rsidRDefault="001930FC" w:rsidP="006D148F">
            <w:pPr>
              <w:tabs>
                <w:tab w:val="left" w:pos="3285"/>
              </w:tabs>
              <w:rPr>
                <w:rFonts w:ascii="Arial" w:hAnsi="Arial" w:cs="Arial"/>
              </w:rPr>
            </w:pPr>
          </w:p>
          <w:p w14:paraId="2C5430C4" w14:textId="77777777" w:rsidR="001930FC" w:rsidRDefault="001930FC" w:rsidP="006D148F">
            <w:pPr>
              <w:tabs>
                <w:tab w:val="left" w:pos="3285"/>
              </w:tabs>
              <w:rPr>
                <w:rFonts w:ascii="Arial" w:hAnsi="Arial" w:cs="Arial"/>
              </w:rPr>
            </w:pPr>
            <w:r>
              <w:rPr>
                <w:rFonts w:ascii="Arial" w:hAnsi="Arial" w:cs="Arial"/>
              </w:rPr>
              <w:t xml:space="preserve">One emerging issue to keep an eye on is the growing debate over potential stranded costs and stranded assets in the gas industry. While this debate has largely </w:t>
            </w:r>
            <w:r w:rsidR="001801B3">
              <w:rPr>
                <w:rFonts w:ascii="Arial" w:hAnsi="Arial" w:cs="Arial"/>
              </w:rPr>
              <w:t>raged</w:t>
            </w:r>
            <w:r>
              <w:rPr>
                <w:rFonts w:ascii="Arial" w:hAnsi="Arial" w:cs="Arial"/>
              </w:rPr>
              <w:t xml:space="preserve"> </w:t>
            </w:r>
            <w:r w:rsidR="001801B3">
              <w:rPr>
                <w:rFonts w:ascii="Arial" w:hAnsi="Arial" w:cs="Arial"/>
              </w:rPr>
              <w:t>i</w:t>
            </w:r>
            <w:r>
              <w:rPr>
                <w:rFonts w:ascii="Arial" w:hAnsi="Arial" w:cs="Arial"/>
              </w:rPr>
              <w:t>n the electric industry</w:t>
            </w:r>
            <w:r w:rsidR="001801B3">
              <w:rPr>
                <w:rFonts w:ascii="Arial" w:hAnsi="Arial" w:cs="Arial"/>
              </w:rPr>
              <w:t xml:space="preserve"> to date</w:t>
            </w:r>
            <w:r>
              <w:rPr>
                <w:rFonts w:ascii="Arial" w:hAnsi="Arial" w:cs="Arial"/>
              </w:rPr>
              <w:t xml:space="preserve">, </w:t>
            </w:r>
            <w:r w:rsidRPr="001930FC">
              <w:rPr>
                <w:rFonts w:ascii="Arial" w:hAnsi="Arial" w:cs="Arial"/>
              </w:rPr>
              <w:t xml:space="preserve">as policy </w:t>
            </w:r>
            <w:r>
              <w:rPr>
                <w:rFonts w:ascii="Arial" w:hAnsi="Arial" w:cs="Arial"/>
              </w:rPr>
              <w:t>has begun shifting</w:t>
            </w:r>
            <w:r w:rsidRPr="001930FC">
              <w:rPr>
                <w:rFonts w:ascii="Arial" w:hAnsi="Arial" w:cs="Arial"/>
              </w:rPr>
              <w:t xml:space="preserve"> from a narrow focus on renewable resources to a broader focus on carbon-free resources, gas LDCs</w:t>
            </w:r>
            <w:r>
              <w:rPr>
                <w:rFonts w:ascii="Arial" w:hAnsi="Arial" w:cs="Arial"/>
              </w:rPr>
              <w:t xml:space="preserve"> will increasingly face this issue.</w:t>
            </w:r>
          </w:p>
          <w:p w14:paraId="34DF8D9F" w14:textId="77777777" w:rsidR="00762122" w:rsidRPr="00B51D1F" w:rsidRDefault="00762122" w:rsidP="00762122">
            <w:pPr>
              <w:tabs>
                <w:tab w:val="left" w:pos="3285"/>
              </w:tabs>
              <w:rPr>
                <w:rFonts w:ascii="Arial" w:hAnsi="Arial" w:cs="Arial"/>
              </w:rPr>
            </w:pPr>
          </w:p>
        </w:tc>
      </w:tr>
      <w:tr w:rsidR="0061237E" w:rsidRPr="00B51D1F" w14:paraId="3B9276AE" w14:textId="77777777" w:rsidTr="004E793E">
        <w:trPr>
          <w:trHeight w:val="279"/>
        </w:trPr>
        <w:tc>
          <w:tcPr>
            <w:tcW w:w="9895" w:type="dxa"/>
            <w:gridSpan w:val="2"/>
            <w:tcBorders>
              <w:top w:val="nil"/>
            </w:tcBorders>
            <w:shd w:val="clear" w:color="auto" w:fill="1F4E79" w:themeFill="accent1" w:themeFillShade="80"/>
          </w:tcPr>
          <w:p w14:paraId="26C70188" w14:textId="77777777" w:rsidR="0061237E" w:rsidRPr="001F5597" w:rsidRDefault="0061237E" w:rsidP="004422BE">
            <w:pPr>
              <w:jc w:val="center"/>
              <w:rPr>
                <w:rFonts w:ascii="Arial" w:hAnsi="Arial" w:cs="Arial"/>
                <w:b/>
                <w:color w:val="FFFFFF" w:themeColor="background1"/>
                <w:sz w:val="36"/>
                <w:szCs w:val="36"/>
              </w:rPr>
            </w:pPr>
            <w:r w:rsidRPr="001F5597">
              <w:rPr>
                <w:rFonts w:ascii="Arial" w:hAnsi="Arial" w:cs="Arial"/>
                <w:b/>
                <w:color w:val="FFFFFF" w:themeColor="background1"/>
                <w:sz w:val="36"/>
                <w:szCs w:val="36"/>
              </w:rPr>
              <w:lastRenderedPageBreak/>
              <w:t>Other Regulatory Developments</w:t>
            </w:r>
          </w:p>
        </w:tc>
      </w:tr>
      <w:tr w:rsidR="0061237E" w:rsidRPr="00B51D1F" w14:paraId="04F9CD0A" w14:textId="77777777" w:rsidTr="0061237E">
        <w:trPr>
          <w:trHeight w:val="279"/>
        </w:trPr>
        <w:tc>
          <w:tcPr>
            <w:tcW w:w="9895" w:type="dxa"/>
            <w:gridSpan w:val="2"/>
            <w:tcBorders>
              <w:top w:val="nil"/>
            </w:tcBorders>
            <w:shd w:val="clear" w:color="auto" w:fill="auto"/>
          </w:tcPr>
          <w:p w14:paraId="7CDFB47E" w14:textId="77777777" w:rsidR="0066650B" w:rsidRDefault="008A2C67" w:rsidP="0061237E">
            <w:pPr>
              <w:rPr>
                <w:rFonts w:ascii="Arial" w:hAnsi="Arial" w:cs="Arial"/>
                <w:b/>
                <w:u w:val="single"/>
              </w:rPr>
            </w:pPr>
            <w:r w:rsidRPr="004D07E3">
              <w:rPr>
                <w:rFonts w:ascii="Arial" w:hAnsi="Arial" w:cs="Arial"/>
                <w:b/>
                <w:u w:val="single"/>
              </w:rPr>
              <w:t>Commission Changes</w:t>
            </w:r>
            <w:r w:rsidR="00CD3DC9" w:rsidRPr="004D07E3">
              <w:rPr>
                <w:rFonts w:ascii="Arial" w:hAnsi="Arial" w:cs="Arial"/>
                <w:b/>
                <w:u w:val="single"/>
              </w:rPr>
              <w:t xml:space="preserve"> &amp; Updates</w:t>
            </w:r>
          </w:p>
          <w:p w14:paraId="2D1C4A53" w14:textId="77777777" w:rsidR="004D1C97" w:rsidRDefault="004D1C97" w:rsidP="0061237E">
            <w:pPr>
              <w:rPr>
                <w:rFonts w:ascii="Arial" w:hAnsi="Arial" w:cs="Arial"/>
                <w:b/>
                <w:u w:val="single"/>
              </w:rPr>
            </w:pPr>
          </w:p>
          <w:p w14:paraId="315C1211" w14:textId="77777777" w:rsidR="004D1C97" w:rsidRDefault="004D1C97" w:rsidP="0061237E">
            <w:pPr>
              <w:rPr>
                <w:rFonts w:ascii="Arial" w:hAnsi="Arial" w:cs="Arial"/>
              </w:rPr>
            </w:pPr>
            <w:r>
              <w:rPr>
                <w:rFonts w:ascii="Arial" w:hAnsi="Arial" w:cs="Arial"/>
                <w:b/>
              </w:rPr>
              <w:t xml:space="preserve">PA: </w:t>
            </w:r>
            <w:r w:rsidR="007B18DF" w:rsidRPr="007B18DF">
              <w:rPr>
                <w:rFonts w:ascii="Arial" w:hAnsi="Arial" w:cs="Arial"/>
              </w:rPr>
              <w:t xml:space="preserve">Ralph </w:t>
            </w:r>
            <w:proofErr w:type="spellStart"/>
            <w:r w:rsidR="007B18DF" w:rsidRPr="007B18DF">
              <w:rPr>
                <w:rFonts w:ascii="Arial" w:hAnsi="Arial" w:cs="Arial"/>
              </w:rPr>
              <w:t>Yanora</w:t>
            </w:r>
            <w:proofErr w:type="spellEnd"/>
            <w:r w:rsidR="007B18DF" w:rsidRPr="007B18DF">
              <w:rPr>
                <w:rFonts w:ascii="Arial" w:hAnsi="Arial" w:cs="Arial"/>
              </w:rPr>
              <w:t xml:space="preserve"> was sworn in as the newest member of the Pennsylvania Public Utility Commission on Oc</w:t>
            </w:r>
            <w:r w:rsidR="007B18DF">
              <w:rPr>
                <w:rFonts w:ascii="Arial" w:hAnsi="Arial" w:cs="Arial"/>
              </w:rPr>
              <w:t>tober</w:t>
            </w:r>
            <w:r w:rsidR="007B18DF" w:rsidRPr="007B18DF">
              <w:rPr>
                <w:rFonts w:ascii="Arial" w:hAnsi="Arial" w:cs="Arial"/>
              </w:rPr>
              <w:t xml:space="preserve"> 24. </w:t>
            </w:r>
            <w:proofErr w:type="spellStart"/>
            <w:r w:rsidR="007B18DF" w:rsidRPr="007B18DF">
              <w:rPr>
                <w:rFonts w:ascii="Arial" w:hAnsi="Arial" w:cs="Arial"/>
              </w:rPr>
              <w:t>Yanora</w:t>
            </w:r>
            <w:proofErr w:type="spellEnd"/>
            <w:r w:rsidR="007B18DF" w:rsidRPr="007B18DF">
              <w:rPr>
                <w:rFonts w:ascii="Arial" w:hAnsi="Arial" w:cs="Arial"/>
              </w:rPr>
              <w:t xml:space="preserve"> is serving a term that extends to April 2024.</w:t>
            </w:r>
          </w:p>
          <w:p w14:paraId="342DEDB1" w14:textId="77777777" w:rsidR="007B18DF" w:rsidRDefault="007B18DF" w:rsidP="0061237E">
            <w:pPr>
              <w:rPr>
                <w:rFonts w:ascii="Arial" w:hAnsi="Arial" w:cs="Arial"/>
              </w:rPr>
            </w:pPr>
          </w:p>
          <w:p w14:paraId="61047F22" w14:textId="77777777" w:rsidR="007B18DF" w:rsidRPr="007B18DF" w:rsidRDefault="007B18DF" w:rsidP="0061237E">
            <w:pPr>
              <w:rPr>
                <w:rFonts w:ascii="Arial" w:hAnsi="Arial" w:cs="Arial"/>
              </w:rPr>
            </w:pPr>
            <w:r w:rsidRPr="00CD5878">
              <w:rPr>
                <w:rFonts w:ascii="Arial" w:hAnsi="Arial" w:cs="Arial"/>
                <w:b/>
              </w:rPr>
              <w:t>MS</w:t>
            </w:r>
            <w:r>
              <w:rPr>
                <w:rFonts w:ascii="Arial" w:hAnsi="Arial" w:cs="Arial"/>
              </w:rPr>
              <w:t xml:space="preserve">: </w:t>
            </w:r>
            <w:r w:rsidR="00CD5878">
              <w:rPr>
                <w:rFonts w:ascii="Arial" w:hAnsi="Arial" w:cs="Arial"/>
              </w:rPr>
              <w:t xml:space="preserve">Brandon Presley </w:t>
            </w:r>
            <w:r w:rsidR="00CD5878" w:rsidRPr="00CD5878">
              <w:rPr>
                <w:rFonts w:ascii="Arial" w:hAnsi="Arial" w:cs="Arial"/>
              </w:rPr>
              <w:t>ran unopposed for the commissioner position that represents the Northern District.</w:t>
            </w:r>
            <w:r w:rsidR="00CD5878">
              <w:rPr>
                <w:rFonts w:ascii="Arial" w:hAnsi="Arial" w:cs="Arial"/>
              </w:rPr>
              <w:t xml:space="preserve"> </w:t>
            </w:r>
            <w:r w:rsidR="00CD5878" w:rsidRPr="00CD5878">
              <w:rPr>
                <w:rFonts w:ascii="Arial" w:hAnsi="Arial" w:cs="Arial"/>
              </w:rPr>
              <w:t xml:space="preserve">Brent Bailey defeated </w:t>
            </w:r>
            <w:proofErr w:type="spellStart"/>
            <w:r w:rsidR="00CD5878" w:rsidRPr="00CD5878">
              <w:rPr>
                <w:rFonts w:ascii="Arial" w:hAnsi="Arial" w:cs="Arial"/>
              </w:rPr>
              <w:t>De'Keither</w:t>
            </w:r>
            <w:proofErr w:type="spellEnd"/>
            <w:r w:rsidR="00CD5878" w:rsidRPr="00CD5878">
              <w:rPr>
                <w:rFonts w:ascii="Arial" w:hAnsi="Arial" w:cs="Arial"/>
              </w:rPr>
              <w:t xml:space="preserve"> Stamps and secured the Central District seat</w:t>
            </w:r>
            <w:r w:rsidR="00CD5878">
              <w:rPr>
                <w:rFonts w:ascii="Arial" w:hAnsi="Arial" w:cs="Arial"/>
              </w:rPr>
              <w:t xml:space="preserve">. Bailey will replace Cecil Brown who opted not to run for reelection. </w:t>
            </w:r>
            <w:r w:rsidR="00CD5878" w:rsidRPr="00CD5878">
              <w:rPr>
                <w:rFonts w:ascii="Arial" w:hAnsi="Arial" w:cs="Arial"/>
              </w:rPr>
              <w:t>Dane Maxwell edged out Connie Moran for the Southern District position.</w:t>
            </w:r>
            <w:r w:rsidR="00CD5878">
              <w:rPr>
                <w:rFonts w:ascii="Arial" w:hAnsi="Arial" w:cs="Arial"/>
              </w:rPr>
              <w:t xml:space="preserve"> Maxwell will replace Sam Britton who opted not to run for reelection.</w:t>
            </w:r>
          </w:p>
          <w:p w14:paraId="048E2168" w14:textId="77777777" w:rsidR="00933722" w:rsidRDefault="00933722" w:rsidP="0061237E">
            <w:pPr>
              <w:rPr>
                <w:rFonts w:ascii="Arial" w:hAnsi="Arial" w:cs="Arial"/>
                <w:b/>
                <w:u w:val="single"/>
              </w:rPr>
            </w:pPr>
          </w:p>
          <w:p w14:paraId="5BA45564" w14:textId="77777777" w:rsidR="00CD5878" w:rsidRDefault="00CD5878" w:rsidP="0061237E">
            <w:pPr>
              <w:rPr>
                <w:rFonts w:ascii="Arial" w:hAnsi="Arial" w:cs="Arial"/>
              </w:rPr>
            </w:pPr>
            <w:r w:rsidRPr="00CD5878">
              <w:rPr>
                <w:rFonts w:ascii="Arial" w:hAnsi="Arial" w:cs="Arial"/>
                <w:b/>
              </w:rPr>
              <w:t>NV:</w:t>
            </w:r>
            <w:r>
              <w:rPr>
                <w:rFonts w:ascii="Arial" w:hAnsi="Arial" w:cs="Arial"/>
                <w:b/>
                <w:u w:val="single"/>
              </w:rPr>
              <w:t xml:space="preserve"> </w:t>
            </w:r>
            <w:r w:rsidRPr="00CD5878">
              <w:rPr>
                <w:rFonts w:ascii="Arial" w:hAnsi="Arial" w:cs="Arial"/>
              </w:rPr>
              <w:t>On Dec. 26, 2019, Gov. Steve Sisolak appointed Commissioner Hayley Williamson as Chairwoman of the Public Utilities Commission of Nevada, effective Jan. 1, 2020. Williamson is serving a term that extends to September.</w:t>
            </w:r>
          </w:p>
          <w:p w14:paraId="4A6CC986" w14:textId="77777777" w:rsidR="00CD5878" w:rsidRDefault="00CD5878" w:rsidP="0061237E">
            <w:pPr>
              <w:rPr>
                <w:rFonts w:ascii="Arial" w:hAnsi="Arial" w:cs="Arial"/>
                <w:u w:val="single"/>
              </w:rPr>
            </w:pPr>
          </w:p>
          <w:p w14:paraId="4A7BFE9C" w14:textId="77777777" w:rsidR="00CD5878" w:rsidRDefault="00CD5878" w:rsidP="00CD5878">
            <w:pPr>
              <w:contextualSpacing/>
              <w:rPr>
                <w:rFonts w:ascii="Arial" w:hAnsi="Arial" w:cs="Arial"/>
                <w:bCs/>
              </w:rPr>
            </w:pPr>
            <w:r w:rsidRPr="00CD5878">
              <w:rPr>
                <w:rFonts w:ascii="Arial" w:hAnsi="Arial" w:cs="Arial"/>
                <w:b/>
              </w:rPr>
              <w:t>NC</w:t>
            </w:r>
            <w:r>
              <w:rPr>
                <w:rFonts w:ascii="Arial" w:hAnsi="Arial" w:cs="Arial"/>
              </w:rPr>
              <w:t xml:space="preserve">: </w:t>
            </w:r>
            <w:r w:rsidRPr="00CF6B3D">
              <w:rPr>
                <w:rFonts w:ascii="Arial" w:hAnsi="Arial" w:cs="Arial"/>
                <w:bCs/>
              </w:rPr>
              <w:t>The North Carolina General Assembly on Oct</w:t>
            </w:r>
            <w:r>
              <w:rPr>
                <w:rFonts w:ascii="Arial" w:hAnsi="Arial" w:cs="Arial"/>
                <w:bCs/>
              </w:rPr>
              <w:t>ober</w:t>
            </w:r>
            <w:r w:rsidRPr="00CF6B3D">
              <w:rPr>
                <w:rFonts w:ascii="Arial" w:hAnsi="Arial" w:cs="Arial"/>
                <w:bCs/>
              </w:rPr>
              <w:t xml:space="preserve"> 31 confirmed the appointments of state Sen. Floyd McKissick; PUC staff attorney Kimberly </w:t>
            </w:r>
            <w:proofErr w:type="spellStart"/>
            <w:r w:rsidRPr="00CF6B3D">
              <w:rPr>
                <w:rFonts w:ascii="Arial" w:hAnsi="Arial" w:cs="Arial"/>
                <w:bCs/>
              </w:rPr>
              <w:t>Duffley</w:t>
            </w:r>
            <w:proofErr w:type="spellEnd"/>
            <w:r w:rsidRPr="00CF6B3D">
              <w:rPr>
                <w:rFonts w:ascii="Arial" w:hAnsi="Arial" w:cs="Arial"/>
                <w:bCs/>
              </w:rPr>
              <w:t>; and Jeff Hughes, director of the Environmental Finance Center at the University of North Carolina, to the North Carolina Utilities Commission.</w:t>
            </w:r>
          </w:p>
          <w:p w14:paraId="11E373DA" w14:textId="77777777" w:rsidR="00CD5878" w:rsidRDefault="00CD5878" w:rsidP="00CD5878">
            <w:pPr>
              <w:contextualSpacing/>
              <w:rPr>
                <w:rFonts w:ascii="Arial" w:hAnsi="Arial" w:cs="Arial"/>
                <w:bCs/>
              </w:rPr>
            </w:pPr>
          </w:p>
          <w:p w14:paraId="5DE0291E" w14:textId="77777777" w:rsidR="00CD5878" w:rsidRDefault="00CD5878" w:rsidP="00CD5878">
            <w:pPr>
              <w:contextualSpacing/>
              <w:rPr>
                <w:rFonts w:ascii="Arial" w:hAnsi="Arial" w:cs="Arial"/>
                <w:bCs/>
              </w:rPr>
            </w:pPr>
            <w:r w:rsidRPr="00CD5878">
              <w:rPr>
                <w:rFonts w:ascii="Arial" w:hAnsi="Arial" w:cs="Arial"/>
                <w:b/>
                <w:bCs/>
              </w:rPr>
              <w:t>NARUC</w:t>
            </w:r>
            <w:r>
              <w:rPr>
                <w:rFonts w:ascii="Arial" w:hAnsi="Arial" w:cs="Arial"/>
                <w:bCs/>
              </w:rPr>
              <w:t>: On November 19 m</w:t>
            </w:r>
            <w:r w:rsidRPr="000919A8">
              <w:rPr>
                <w:rFonts w:ascii="Arial" w:hAnsi="Arial" w:cs="Arial"/>
                <w:bCs/>
              </w:rPr>
              <w:t>embers of the National Association of Regulatory Utility Commissioners elected Mississippi Public Service Commission Chair Brandon Presley as the Association’s next president</w:t>
            </w:r>
          </w:p>
          <w:p w14:paraId="7B964334" w14:textId="77777777" w:rsidR="00CD5878" w:rsidRPr="00CD5878" w:rsidRDefault="00CD5878" w:rsidP="0061237E">
            <w:pPr>
              <w:rPr>
                <w:rFonts w:ascii="Arial" w:hAnsi="Arial" w:cs="Arial"/>
              </w:rPr>
            </w:pPr>
          </w:p>
          <w:p w14:paraId="4E9D23E4" w14:textId="77777777" w:rsidR="00CD5878" w:rsidRDefault="00CD5878" w:rsidP="00CD5878">
            <w:pPr>
              <w:contextualSpacing/>
              <w:rPr>
                <w:rFonts w:ascii="Arial" w:hAnsi="Arial" w:cs="Arial"/>
                <w:bCs/>
              </w:rPr>
            </w:pPr>
            <w:r w:rsidRPr="00CD5878">
              <w:rPr>
                <w:rFonts w:ascii="Arial" w:hAnsi="Arial" w:cs="Arial"/>
                <w:b/>
              </w:rPr>
              <w:t>NARUC</w:t>
            </w:r>
            <w:r w:rsidRPr="00CD5878">
              <w:rPr>
                <w:rFonts w:ascii="Arial" w:hAnsi="Arial" w:cs="Arial"/>
              </w:rPr>
              <w:t xml:space="preserve">: </w:t>
            </w:r>
            <w:r>
              <w:rPr>
                <w:rFonts w:ascii="Arial" w:hAnsi="Arial" w:cs="Arial"/>
                <w:bCs/>
              </w:rPr>
              <w:t>On December 4, NARUC President Brandon Presley announced District of Columbia</w:t>
            </w:r>
            <w:r w:rsidRPr="0060765F">
              <w:rPr>
                <w:rFonts w:ascii="Arial" w:hAnsi="Arial" w:cs="Arial"/>
                <w:bCs/>
              </w:rPr>
              <w:t xml:space="preserve"> Public Service Commissioner </w:t>
            </w:r>
            <w:r>
              <w:rPr>
                <w:rFonts w:ascii="Arial" w:hAnsi="Arial" w:cs="Arial"/>
                <w:bCs/>
              </w:rPr>
              <w:t>Greer Gillis</w:t>
            </w:r>
            <w:r w:rsidRPr="0060765F">
              <w:rPr>
                <w:rFonts w:ascii="Arial" w:hAnsi="Arial" w:cs="Arial"/>
                <w:bCs/>
              </w:rPr>
              <w:t xml:space="preserve"> has been appointed </w:t>
            </w:r>
            <w:r>
              <w:rPr>
                <w:rFonts w:ascii="Arial" w:hAnsi="Arial" w:cs="Arial"/>
                <w:bCs/>
              </w:rPr>
              <w:t>as Co-Vice Chair for the NARUC Committee on Gas.</w:t>
            </w:r>
          </w:p>
          <w:p w14:paraId="7D76C15C" w14:textId="17A86665" w:rsidR="00CD5878" w:rsidRDefault="00CD5878" w:rsidP="0061237E">
            <w:pPr>
              <w:rPr>
                <w:rFonts w:ascii="Arial" w:hAnsi="Arial" w:cs="Arial"/>
                <w:u w:val="single"/>
              </w:rPr>
            </w:pPr>
          </w:p>
          <w:p w14:paraId="326CF926" w14:textId="77777777" w:rsidR="00717086" w:rsidRPr="00745A89" w:rsidRDefault="00717086" w:rsidP="0061237E">
            <w:pPr>
              <w:rPr>
                <w:rFonts w:ascii="Arial" w:hAnsi="Arial" w:cs="Arial"/>
                <w:u w:val="single"/>
              </w:rPr>
            </w:pPr>
          </w:p>
          <w:p w14:paraId="4FE4D6F7" w14:textId="77777777" w:rsidR="008A2C67" w:rsidRPr="00F31B28" w:rsidRDefault="008A2C67" w:rsidP="0061237E">
            <w:pPr>
              <w:rPr>
                <w:rFonts w:ascii="Arial" w:hAnsi="Arial" w:cs="Arial"/>
                <w:b/>
                <w:u w:val="single"/>
              </w:rPr>
            </w:pPr>
            <w:r w:rsidRPr="00F31B28">
              <w:rPr>
                <w:rFonts w:ascii="Arial" w:hAnsi="Arial" w:cs="Arial"/>
                <w:b/>
                <w:u w:val="single"/>
              </w:rPr>
              <w:lastRenderedPageBreak/>
              <w:t xml:space="preserve">Other Noteworthy Regulatory Action </w:t>
            </w:r>
          </w:p>
          <w:p w14:paraId="191794FA" w14:textId="77777777" w:rsidR="003153D5" w:rsidRPr="007B18DF" w:rsidRDefault="00C11406" w:rsidP="0061237E">
            <w:pPr>
              <w:rPr>
                <w:rFonts w:ascii="Arial" w:hAnsi="Arial" w:cs="Arial"/>
              </w:rPr>
            </w:pPr>
            <w:r w:rsidRPr="00F31B28">
              <w:rPr>
                <w:rFonts w:ascii="Arial" w:hAnsi="Arial" w:cs="Arial"/>
                <w:b/>
              </w:rPr>
              <w:t>The following companies initiated rate proceedings</w:t>
            </w:r>
            <w:r w:rsidR="00E848FE" w:rsidRPr="00F31B28">
              <w:rPr>
                <w:rFonts w:ascii="Arial" w:hAnsi="Arial" w:cs="Arial"/>
                <w:b/>
              </w:rPr>
              <w:t xml:space="preserve"> during Q</w:t>
            </w:r>
            <w:r w:rsidR="00104C00">
              <w:rPr>
                <w:rFonts w:ascii="Arial" w:hAnsi="Arial" w:cs="Arial"/>
                <w:b/>
              </w:rPr>
              <w:t xml:space="preserve">4 </w:t>
            </w:r>
            <w:r w:rsidR="00E848FE" w:rsidRPr="00F31B28">
              <w:rPr>
                <w:rFonts w:ascii="Arial" w:hAnsi="Arial" w:cs="Arial"/>
                <w:b/>
              </w:rPr>
              <w:t>201</w:t>
            </w:r>
            <w:r w:rsidR="00697541" w:rsidRPr="00F31B28">
              <w:rPr>
                <w:rFonts w:ascii="Arial" w:hAnsi="Arial" w:cs="Arial"/>
                <w:b/>
              </w:rPr>
              <w:t>9</w:t>
            </w:r>
            <w:r w:rsidR="00E848FE" w:rsidRPr="00F31B28">
              <w:rPr>
                <w:rFonts w:ascii="Arial" w:hAnsi="Arial" w:cs="Arial"/>
                <w:b/>
              </w:rPr>
              <w:t>:</w:t>
            </w:r>
            <w:r w:rsidR="00745728">
              <w:rPr>
                <w:rFonts w:ascii="Arial" w:hAnsi="Arial" w:cs="Arial"/>
                <w:b/>
              </w:rPr>
              <w:t xml:space="preserve"> </w:t>
            </w:r>
            <w:r w:rsidR="007B18DF" w:rsidRPr="007B18DF">
              <w:rPr>
                <w:rFonts w:ascii="Arial" w:hAnsi="Arial" w:cs="Arial"/>
              </w:rPr>
              <w:t>Delmarva Power &amp; Light Co. (DE); Columbia Gas of Kentucky (KY); Fitchburg Gas &amp; Electric Light (MA); NSTAR Gas Co. (MA); Consumers Energy (MI); DTE Gas Co. (MI); CenterPoint Energy Resources (MN); New Mexico Gas Co. (NM); Northwest Natural Gas Co. (OR); Questar Gas Co. (WY).</w:t>
            </w:r>
          </w:p>
          <w:p w14:paraId="38BB0D18" w14:textId="77777777" w:rsidR="00104C00" w:rsidRDefault="00104C00" w:rsidP="0061237E">
            <w:pPr>
              <w:rPr>
                <w:rFonts w:ascii="Arial" w:hAnsi="Arial" w:cs="Arial"/>
                <w:b/>
                <w:u w:val="single"/>
              </w:rPr>
            </w:pPr>
          </w:p>
          <w:p w14:paraId="7AF21620" w14:textId="77777777" w:rsidR="0066650B" w:rsidRDefault="0066650B" w:rsidP="0061237E">
            <w:pPr>
              <w:rPr>
                <w:rFonts w:ascii="Arial" w:hAnsi="Arial" w:cs="Arial"/>
                <w:b/>
                <w:u w:val="single"/>
              </w:rPr>
            </w:pPr>
            <w:r>
              <w:rPr>
                <w:rFonts w:ascii="Arial" w:hAnsi="Arial" w:cs="Arial"/>
                <w:b/>
                <w:u w:val="single"/>
              </w:rPr>
              <w:t>M&amp;A Activity</w:t>
            </w:r>
          </w:p>
          <w:p w14:paraId="3447C39C" w14:textId="77777777" w:rsidR="00940660" w:rsidRDefault="007B18DF" w:rsidP="00AD3A1C">
            <w:pPr>
              <w:rPr>
                <w:rFonts w:ascii="Arial" w:hAnsi="Arial" w:cs="Arial"/>
              </w:rPr>
            </w:pPr>
            <w:r w:rsidRPr="007B18DF">
              <w:rPr>
                <w:rFonts w:ascii="Arial" w:hAnsi="Arial" w:cs="Arial"/>
                <w:b/>
              </w:rPr>
              <w:t xml:space="preserve">PPL Corp./Avangrid Inc. — </w:t>
            </w:r>
            <w:r w:rsidRPr="007B18DF">
              <w:rPr>
                <w:rFonts w:ascii="Arial" w:hAnsi="Arial" w:cs="Arial"/>
              </w:rPr>
              <w:t>PPL Corp. and Avangrid have been in the spotlight recently as rumors swirl that the companies have been exploring strategic opportunities. These rumors stem from an Oct. 11 Financial Times report that PPL and Avangrid have held discussions to potentially combine all or parts of their businesses</w:t>
            </w:r>
            <w:r>
              <w:rPr>
                <w:rFonts w:ascii="Arial" w:hAnsi="Arial" w:cs="Arial"/>
              </w:rPr>
              <w:t>.</w:t>
            </w:r>
          </w:p>
          <w:p w14:paraId="4028066C" w14:textId="77777777" w:rsidR="007B18DF" w:rsidRDefault="007B18DF" w:rsidP="00AD3A1C">
            <w:pPr>
              <w:rPr>
                <w:rFonts w:ascii="Arial" w:hAnsi="Arial" w:cs="Arial"/>
              </w:rPr>
            </w:pPr>
          </w:p>
          <w:p w14:paraId="5A8B3367" w14:textId="77777777" w:rsidR="007B18DF" w:rsidRDefault="007B18DF" w:rsidP="00AD3A1C">
            <w:pPr>
              <w:rPr>
                <w:rFonts w:ascii="Arial" w:hAnsi="Arial" w:cs="Arial"/>
              </w:rPr>
            </w:pPr>
            <w:r w:rsidRPr="007B18DF">
              <w:rPr>
                <w:rFonts w:ascii="Arial" w:hAnsi="Arial" w:cs="Arial"/>
                <w:b/>
              </w:rPr>
              <w:t>Aqua America Inc./Peoples Natural Gas Co. LLC</w:t>
            </w:r>
            <w:r w:rsidRPr="007B18DF">
              <w:rPr>
                <w:rFonts w:ascii="Arial" w:hAnsi="Arial" w:cs="Arial"/>
              </w:rPr>
              <w:t xml:space="preserve"> — In a recommended decision issued Oct. 28, a Pennsylvania Public Utility Commission administrative law judge concluded that the proposed, first-of-its-kind acquisition by Aqua America of Peoples Natural Gas and its Pennsylvania subsidiaries and a related </w:t>
            </w:r>
            <w:proofErr w:type="spellStart"/>
            <w:r w:rsidRPr="007B18DF">
              <w:rPr>
                <w:rFonts w:ascii="Arial" w:hAnsi="Arial" w:cs="Arial"/>
              </w:rPr>
              <w:t>nonunanimous</w:t>
            </w:r>
            <w:proofErr w:type="spellEnd"/>
            <w:r w:rsidRPr="007B18DF">
              <w:rPr>
                <w:rFonts w:ascii="Arial" w:hAnsi="Arial" w:cs="Arial"/>
              </w:rPr>
              <w:t xml:space="preserve"> settlement are "in the public interest" and "supported by substantial evidence."</w:t>
            </w:r>
          </w:p>
          <w:p w14:paraId="293FCBEA" w14:textId="77777777" w:rsidR="007B18DF" w:rsidRDefault="007B18DF" w:rsidP="00AD3A1C">
            <w:pPr>
              <w:rPr>
                <w:rFonts w:ascii="Arial" w:hAnsi="Arial" w:cs="Arial"/>
              </w:rPr>
            </w:pPr>
          </w:p>
          <w:p w14:paraId="0861CBF7" w14:textId="77777777" w:rsidR="00104C00" w:rsidRDefault="007B18DF" w:rsidP="00AD3A1C">
            <w:pPr>
              <w:rPr>
                <w:rFonts w:ascii="Arial" w:hAnsi="Arial" w:cs="Arial"/>
              </w:rPr>
            </w:pPr>
            <w:r w:rsidRPr="007B18DF">
              <w:rPr>
                <w:rFonts w:ascii="Arial" w:hAnsi="Arial" w:cs="Arial"/>
                <w:b/>
              </w:rPr>
              <w:t>Chesapeake Utilities Corp./Elkton Gas Co</w:t>
            </w:r>
            <w:r w:rsidRPr="007B18DF">
              <w:rPr>
                <w:rFonts w:ascii="Arial" w:hAnsi="Arial" w:cs="Arial"/>
              </w:rPr>
              <w:t>. — The Maryland Public Service Commission review will be required for a proposal, announced Dec. 9, 2019, under which Chesapeake Utilities Corp. would purchase Elkton Gas Co. from South Jersey Industries Inc. for $15 million. State statute requires PSC approval of any transaction that results in an entity being granted the ability to exert substantial influence over a utility.</w:t>
            </w:r>
          </w:p>
          <w:p w14:paraId="0F7E8D27" w14:textId="2E7CE4C9" w:rsidR="00E13B43" w:rsidRPr="007B18DF" w:rsidRDefault="00E13B43" w:rsidP="00AD3A1C">
            <w:pPr>
              <w:rPr>
                <w:rFonts w:ascii="Arial" w:hAnsi="Arial" w:cs="Arial"/>
              </w:rPr>
            </w:pPr>
          </w:p>
        </w:tc>
      </w:tr>
      <w:tr w:rsidR="00DE3CEE" w:rsidRPr="00B51D1F" w14:paraId="5307172E" w14:textId="77777777" w:rsidTr="004E793E">
        <w:trPr>
          <w:trHeight w:val="279"/>
        </w:trPr>
        <w:tc>
          <w:tcPr>
            <w:tcW w:w="9895" w:type="dxa"/>
            <w:gridSpan w:val="2"/>
            <w:tcBorders>
              <w:top w:val="nil"/>
            </w:tcBorders>
            <w:shd w:val="clear" w:color="auto" w:fill="1F4E79" w:themeFill="accent1" w:themeFillShade="80"/>
          </w:tcPr>
          <w:p w14:paraId="7E3BB120" w14:textId="77777777" w:rsidR="00DE3CEE" w:rsidRPr="001F5597" w:rsidRDefault="001A22FE" w:rsidP="001A22FE">
            <w:pPr>
              <w:jc w:val="center"/>
              <w:rPr>
                <w:rFonts w:ascii="Arial" w:hAnsi="Arial" w:cs="Arial"/>
                <w:b/>
                <w:color w:val="FFFFFF" w:themeColor="background1"/>
                <w:sz w:val="36"/>
                <w:szCs w:val="36"/>
              </w:rPr>
            </w:pPr>
            <w:r w:rsidRPr="001F5597">
              <w:rPr>
                <w:rFonts w:ascii="Arial" w:hAnsi="Arial" w:cs="Arial"/>
                <w:b/>
                <w:color w:val="FFFFFF" w:themeColor="background1"/>
                <w:sz w:val="36"/>
                <w:szCs w:val="36"/>
              </w:rPr>
              <w:lastRenderedPageBreak/>
              <w:t xml:space="preserve">Rate Case Decisions </w:t>
            </w:r>
          </w:p>
        </w:tc>
      </w:tr>
      <w:tr w:rsidR="009B2D68" w:rsidRPr="00B51D1F" w14:paraId="73DD559A" w14:textId="77777777" w:rsidTr="004E793E">
        <w:trPr>
          <w:trHeight w:val="279"/>
        </w:trPr>
        <w:tc>
          <w:tcPr>
            <w:tcW w:w="9895" w:type="dxa"/>
            <w:gridSpan w:val="2"/>
            <w:shd w:val="clear" w:color="auto" w:fill="1F4E79" w:themeFill="accent1" w:themeFillShade="80"/>
          </w:tcPr>
          <w:p w14:paraId="5211119B" w14:textId="77777777" w:rsidR="009B2D68" w:rsidRPr="00B51D1F" w:rsidRDefault="00935547" w:rsidP="00376064">
            <w:pPr>
              <w:jc w:val="center"/>
              <w:rPr>
                <w:rFonts w:ascii="Arial" w:hAnsi="Arial" w:cs="Arial"/>
                <w:b/>
                <w:color w:val="FFFFFF" w:themeColor="background1"/>
              </w:rPr>
            </w:pPr>
            <w:r>
              <w:rPr>
                <w:rFonts w:ascii="Arial" w:hAnsi="Arial" w:cs="Arial"/>
                <w:b/>
                <w:color w:val="FFFFFF" w:themeColor="background1"/>
              </w:rPr>
              <w:t>October</w:t>
            </w:r>
            <w:r w:rsidR="00F72025">
              <w:rPr>
                <w:rFonts w:ascii="Arial" w:hAnsi="Arial" w:cs="Arial"/>
                <w:b/>
                <w:color w:val="FFFFFF" w:themeColor="background1"/>
              </w:rPr>
              <w:t xml:space="preserve"> </w:t>
            </w:r>
            <w:r>
              <w:rPr>
                <w:rFonts w:ascii="Arial" w:hAnsi="Arial" w:cs="Arial"/>
                <w:b/>
                <w:color w:val="FFFFFF" w:themeColor="background1"/>
              </w:rPr>
              <w:t>2</w:t>
            </w:r>
            <w:r w:rsidR="00F72025">
              <w:rPr>
                <w:rFonts w:ascii="Arial" w:hAnsi="Arial" w:cs="Arial"/>
                <w:b/>
                <w:color w:val="FFFFFF" w:themeColor="background1"/>
              </w:rPr>
              <w:t>, 2019</w:t>
            </w:r>
          </w:p>
        </w:tc>
      </w:tr>
      <w:tr w:rsidR="009B2D68" w:rsidRPr="00B51D1F" w14:paraId="731B9891" w14:textId="77777777" w:rsidTr="002E5982">
        <w:trPr>
          <w:trHeight w:val="279"/>
        </w:trPr>
        <w:tc>
          <w:tcPr>
            <w:tcW w:w="2245" w:type="dxa"/>
            <w:shd w:val="clear" w:color="auto" w:fill="1F4E79" w:themeFill="accent1" w:themeFillShade="80"/>
          </w:tcPr>
          <w:p w14:paraId="0D29DD2D" w14:textId="77777777" w:rsidR="009B2D68" w:rsidRPr="00B51D1F" w:rsidRDefault="009B2D68" w:rsidP="005A2F42">
            <w:pPr>
              <w:rPr>
                <w:rFonts w:ascii="Arial" w:hAnsi="Arial" w:cs="Arial"/>
                <w:b/>
                <w:color w:val="FFFFFF" w:themeColor="background1"/>
              </w:rPr>
            </w:pPr>
            <w:r w:rsidRPr="00B51D1F">
              <w:rPr>
                <w:rFonts w:ascii="Arial" w:hAnsi="Arial" w:cs="Arial"/>
                <w:b/>
                <w:color w:val="FFFFFF" w:themeColor="background1"/>
              </w:rPr>
              <w:t>Company</w:t>
            </w:r>
          </w:p>
        </w:tc>
        <w:tc>
          <w:tcPr>
            <w:tcW w:w="7650" w:type="dxa"/>
            <w:shd w:val="clear" w:color="auto" w:fill="auto"/>
          </w:tcPr>
          <w:p w14:paraId="1A16ADF0" w14:textId="77777777" w:rsidR="009B2D68" w:rsidRPr="00B51D1F" w:rsidRDefault="0004288F" w:rsidP="00C03B0F">
            <w:pPr>
              <w:rPr>
                <w:rFonts w:ascii="Arial" w:hAnsi="Arial" w:cs="Arial"/>
              </w:rPr>
            </w:pPr>
            <w:r>
              <w:rPr>
                <w:rFonts w:ascii="Arial" w:hAnsi="Arial" w:cs="Arial"/>
              </w:rPr>
              <w:t>Northern Illinois Gas Co.</w:t>
            </w:r>
          </w:p>
        </w:tc>
      </w:tr>
      <w:tr w:rsidR="009B2D68" w:rsidRPr="00B51D1F" w14:paraId="29DFE65D" w14:textId="77777777" w:rsidTr="002E5982">
        <w:trPr>
          <w:trHeight w:val="279"/>
        </w:trPr>
        <w:tc>
          <w:tcPr>
            <w:tcW w:w="2245" w:type="dxa"/>
            <w:shd w:val="clear" w:color="auto" w:fill="1F4E79" w:themeFill="accent1" w:themeFillShade="80"/>
          </w:tcPr>
          <w:p w14:paraId="04B8DE5A" w14:textId="77777777" w:rsidR="009B2D68" w:rsidRPr="00B51D1F" w:rsidRDefault="003A0B49" w:rsidP="005A2F42">
            <w:pPr>
              <w:rPr>
                <w:rFonts w:ascii="Arial" w:hAnsi="Arial" w:cs="Arial"/>
                <w:b/>
                <w:color w:val="FFFFFF" w:themeColor="background1"/>
              </w:rPr>
            </w:pPr>
            <w:r>
              <w:rPr>
                <w:rFonts w:ascii="Arial" w:hAnsi="Arial" w:cs="Arial"/>
                <w:b/>
                <w:color w:val="FFFFFF" w:themeColor="background1"/>
              </w:rPr>
              <w:t>State</w:t>
            </w:r>
          </w:p>
        </w:tc>
        <w:tc>
          <w:tcPr>
            <w:tcW w:w="7650" w:type="dxa"/>
            <w:shd w:val="clear" w:color="auto" w:fill="auto"/>
          </w:tcPr>
          <w:p w14:paraId="4336D6EC" w14:textId="77777777" w:rsidR="009B2D68" w:rsidRPr="00B51D1F" w:rsidRDefault="0004288F" w:rsidP="00CD3DC9">
            <w:pPr>
              <w:rPr>
                <w:rFonts w:ascii="Arial" w:hAnsi="Arial" w:cs="Arial"/>
              </w:rPr>
            </w:pPr>
            <w:r>
              <w:rPr>
                <w:rFonts w:ascii="Arial" w:hAnsi="Arial" w:cs="Arial"/>
              </w:rPr>
              <w:t>Illinois</w:t>
            </w:r>
          </w:p>
        </w:tc>
      </w:tr>
      <w:tr w:rsidR="009B2D68" w:rsidRPr="00B51D1F" w14:paraId="4E0D464F" w14:textId="77777777" w:rsidTr="002E5982">
        <w:trPr>
          <w:trHeight w:val="279"/>
        </w:trPr>
        <w:tc>
          <w:tcPr>
            <w:tcW w:w="2245" w:type="dxa"/>
            <w:shd w:val="clear" w:color="auto" w:fill="1F4E79" w:themeFill="accent1" w:themeFillShade="80"/>
          </w:tcPr>
          <w:p w14:paraId="0D955455" w14:textId="77777777" w:rsidR="009B2D68" w:rsidRPr="00B51D1F" w:rsidRDefault="009B2D68" w:rsidP="005A2F42">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shd w:val="clear" w:color="auto" w:fill="auto"/>
          </w:tcPr>
          <w:p w14:paraId="34D0EC7D" w14:textId="77777777" w:rsidR="009B2D68" w:rsidRPr="00E40DE3" w:rsidRDefault="00F103A3" w:rsidP="004262A4">
            <w:pPr>
              <w:rPr>
                <w:rFonts w:ascii="Arial" w:hAnsi="Arial" w:cs="Arial"/>
                <w:color w:val="0000FF"/>
              </w:rPr>
            </w:pPr>
            <w:hyperlink r:id="rId9" w:history="1">
              <w:r w:rsidR="0004288F" w:rsidRPr="0004288F">
                <w:rPr>
                  <w:rStyle w:val="Hyperlink"/>
                  <w:rFonts w:ascii="Arial" w:hAnsi="Arial" w:cs="Arial"/>
                </w:rPr>
                <w:t>Docket No. 18-1775 </w:t>
              </w:r>
            </w:hyperlink>
          </w:p>
        </w:tc>
      </w:tr>
      <w:tr w:rsidR="009B2D68" w:rsidRPr="00B51D1F" w14:paraId="5A241452" w14:textId="77777777" w:rsidTr="002E5982">
        <w:trPr>
          <w:trHeight w:val="279"/>
        </w:trPr>
        <w:tc>
          <w:tcPr>
            <w:tcW w:w="2245" w:type="dxa"/>
            <w:shd w:val="clear" w:color="auto" w:fill="1F4E79" w:themeFill="accent1" w:themeFillShade="80"/>
          </w:tcPr>
          <w:p w14:paraId="6E4F28CD" w14:textId="77777777" w:rsidR="009B2D68" w:rsidRPr="00B51D1F" w:rsidRDefault="009B2D68" w:rsidP="005A2F42">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shd w:val="clear" w:color="auto" w:fill="auto"/>
          </w:tcPr>
          <w:p w14:paraId="6DDD3416" w14:textId="77777777" w:rsidR="009B2D68" w:rsidRPr="00B51D1F" w:rsidRDefault="003153D5" w:rsidP="006F213E">
            <w:pPr>
              <w:rPr>
                <w:rFonts w:ascii="Arial" w:hAnsi="Arial" w:cs="Arial"/>
              </w:rPr>
            </w:pPr>
            <w:r>
              <w:rPr>
                <w:rFonts w:ascii="Arial" w:hAnsi="Arial" w:cs="Arial"/>
              </w:rPr>
              <w:t>$</w:t>
            </w:r>
            <w:r w:rsidR="0004288F">
              <w:rPr>
                <w:rFonts w:ascii="Arial" w:hAnsi="Arial" w:cs="Arial"/>
              </w:rPr>
              <w:t>167,700,000</w:t>
            </w:r>
          </w:p>
        </w:tc>
      </w:tr>
      <w:tr w:rsidR="009B2D68" w:rsidRPr="00B51D1F" w14:paraId="13211B0B" w14:textId="77777777" w:rsidTr="002E5982">
        <w:trPr>
          <w:trHeight w:val="279"/>
        </w:trPr>
        <w:tc>
          <w:tcPr>
            <w:tcW w:w="2245" w:type="dxa"/>
            <w:shd w:val="clear" w:color="auto" w:fill="1F4E79" w:themeFill="accent1" w:themeFillShade="80"/>
          </w:tcPr>
          <w:p w14:paraId="352C7005" w14:textId="77777777" w:rsidR="009B2D68" w:rsidRPr="00B51D1F" w:rsidRDefault="009B2D68" w:rsidP="005A2F42">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shd w:val="clear" w:color="auto" w:fill="auto"/>
          </w:tcPr>
          <w:p w14:paraId="04D24EAE" w14:textId="77777777" w:rsidR="009B2D68" w:rsidRPr="00B51D1F" w:rsidRDefault="0004288F" w:rsidP="005D2082">
            <w:pPr>
              <w:rPr>
                <w:rFonts w:ascii="Arial" w:hAnsi="Arial" w:cs="Arial"/>
              </w:rPr>
            </w:pPr>
            <w:r>
              <w:rPr>
                <w:rFonts w:ascii="Arial" w:hAnsi="Arial" w:cs="Arial"/>
              </w:rPr>
              <w:t>9.73%</w:t>
            </w:r>
          </w:p>
        </w:tc>
      </w:tr>
      <w:tr w:rsidR="005A2F42" w:rsidRPr="00B51D1F" w14:paraId="30BD66A7" w14:textId="77777777" w:rsidTr="002E5982">
        <w:trPr>
          <w:trHeight w:val="279"/>
        </w:trPr>
        <w:tc>
          <w:tcPr>
            <w:tcW w:w="2245" w:type="dxa"/>
            <w:shd w:val="clear" w:color="auto" w:fill="1F4E79" w:themeFill="accent1" w:themeFillShade="80"/>
          </w:tcPr>
          <w:p w14:paraId="78172074" w14:textId="77777777" w:rsidR="005A2F42" w:rsidRPr="00B51D1F" w:rsidRDefault="005A2F42" w:rsidP="005A2F42">
            <w:pPr>
              <w:rPr>
                <w:rFonts w:ascii="Arial" w:hAnsi="Arial" w:cs="Arial"/>
                <w:b/>
                <w:color w:val="FFFFFF" w:themeColor="background1"/>
              </w:rPr>
            </w:pPr>
            <w:r w:rsidRPr="00B51D1F">
              <w:rPr>
                <w:rFonts w:ascii="Arial" w:hAnsi="Arial" w:cs="Arial"/>
                <w:b/>
                <w:color w:val="FFFFFF" w:themeColor="background1"/>
              </w:rPr>
              <w:t>Intervenors</w:t>
            </w:r>
          </w:p>
        </w:tc>
        <w:tc>
          <w:tcPr>
            <w:tcW w:w="7650" w:type="dxa"/>
            <w:shd w:val="clear" w:color="auto" w:fill="auto"/>
          </w:tcPr>
          <w:p w14:paraId="2A44E978" w14:textId="77777777" w:rsidR="005A2F42" w:rsidRPr="00B51D1F" w:rsidRDefault="0004288F" w:rsidP="00FD1550">
            <w:pPr>
              <w:rPr>
                <w:rFonts w:ascii="Arial" w:hAnsi="Arial" w:cs="Arial"/>
              </w:rPr>
            </w:pPr>
            <w:r w:rsidRPr="0004288F">
              <w:rPr>
                <w:rFonts w:ascii="Arial" w:hAnsi="Arial" w:cs="Arial"/>
              </w:rPr>
              <w:t>Construction &amp; General Laborers’ District Council of Chicago and Vicinit</w:t>
            </w:r>
            <w:r>
              <w:rPr>
                <w:rFonts w:ascii="Arial" w:hAnsi="Arial" w:cs="Arial"/>
              </w:rPr>
              <w:t xml:space="preserve">y, </w:t>
            </w:r>
            <w:r w:rsidRPr="0004288F">
              <w:rPr>
                <w:rFonts w:ascii="Arial" w:hAnsi="Arial" w:cs="Arial"/>
              </w:rPr>
              <w:t>Illinois Competitive Energy Association</w:t>
            </w:r>
            <w:r>
              <w:rPr>
                <w:rFonts w:ascii="Arial" w:hAnsi="Arial" w:cs="Arial"/>
              </w:rPr>
              <w:t xml:space="preserve">, </w:t>
            </w:r>
            <w:r w:rsidRPr="0004288F">
              <w:rPr>
                <w:rFonts w:ascii="Arial" w:hAnsi="Arial" w:cs="Arial"/>
              </w:rPr>
              <w:t xml:space="preserve">Local Union No. 19 International Brotherhood </w:t>
            </w:r>
            <w:proofErr w:type="gramStart"/>
            <w:r w:rsidRPr="0004288F">
              <w:rPr>
                <w:rFonts w:ascii="Arial" w:hAnsi="Arial" w:cs="Arial"/>
              </w:rPr>
              <w:t>Of</w:t>
            </w:r>
            <w:proofErr w:type="gramEnd"/>
            <w:r w:rsidRPr="0004288F">
              <w:rPr>
                <w:rFonts w:ascii="Arial" w:hAnsi="Arial" w:cs="Arial"/>
              </w:rPr>
              <w:t xml:space="preserve"> Electrical Workers, AFL-CIO, Cargill, Inc., ArcelorMittal USA, LLC</w:t>
            </w:r>
            <w:r>
              <w:rPr>
                <w:rFonts w:ascii="Arial" w:hAnsi="Arial" w:cs="Arial"/>
              </w:rPr>
              <w:t xml:space="preserve">, </w:t>
            </w:r>
            <w:r w:rsidRPr="0004288F">
              <w:rPr>
                <w:rFonts w:ascii="Arial" w:hAnsi="Arial" w:cs="Arial"/>
              </w:rPr>
              <w:t>Citizens Utility Board</w:t>
            </w:r>
            <w:r>
              <w:rPr>
                <w:rFonts w:ascii="Arial" w:hAnsi="Arial" w:cs="Arial"/>
              </w:rPr>
              <w:t xml:space="preserve">, </w:t>
            </w:r>
            <w:r w:rsidRPr="0004288F">
              <w:rPr>
                <w:rFonts w:ascii="Arial" w:hAnsi="Arial" w:cs="Arial"/>
              </w:rPr>
              <w:t>Retail Energy Supply Association</w:t>
            </w:r>
            <w:r>
              <w:rPr>
                <w:rFonts w:ascii="Arial" w:hAnsi="Arial" w:cs="Arial"/>
              </w:rPr>
              <w:t xml:space="preserve">, </w:t>
            </w:r>
            <w:r w:rsidRPr="0004288F">
              <w:rPr>
                <w:rFonts w:ascii="Arial" w:hAnsi="Arial" w:cs="Arial"/>
              </w:rPr>
              <w:t>Caterpillar Inc</w:t>
            </w:r>
            <w:r>
              <w:rPr>
                <w:rFonts w:ascii="Arial" w:hAnsi="Arial" w:cs="Arial"/>
              </w:rPr>
              <w:t xml:space="preserve">, </w:t>
            </w:r>
            <w:r w:rsidRPr="0004288F">
              <w:rPr>
                <w:rFonts w:ascii="Arial" w:hAnsi="Arial" w:cs="Arial"/>
              </w:rPr>
              <w:t>ExxonMobil Power &amp; Gas Services, Inc</w:t>
            </w:r>
            <w:r>
              <w:rPr>
                <w:rFonts w:ascii="Arial" w:hAnsi="Arial" w:cs="Arial"/>
              </w:rPr>
              <w:t xml:space="preserve">, </w:t>
            </w:r>
            <w:r w:rsidRPr="0004288F">
              <w:rPr>
                <w:rFonts w:ascii="Arial" w:hAnsi="Arial" w:cs="Arial"/>
              </w:rPr>
              <w:t>Sterling Steel Company</w:t>
            </w:r>
            <w:r>
              <w:rPr>
                <w:rFonts w:ascii="Arial" w:hAnsi="Arial" w:cs="Arial"/>
              </w:rPr>
              <w:t xml:space="preserve">, and </w:t>
            </w:r>
            <w:r w:rsidRPr="0004288F">
              <w:rPr>
                <w:rFonts w:ascii="Arial" w:hAnsi="Arial" w:cs="Arial"/>
              </w:rPr>
              <w:t>FCA US, LLC</w:t>
            </w:r>
            <w:r>
              <w:rPr>
                <w:rFonts w:ascii="Arial" w:hAnsi="Arial" w:cs="Arial"/>
              </w:rPr>
              <w:t xml:space="preserve">, </w:t>
            </w:r>
          </w:p>
        </w:tc>
      </w:tr>
      <w:tr w:rsidR="005A2F42" w:rsidRPr="00B51D1F" w14:paraId="49316DE4" w14:textId="77777777" w:rsidTr="004E793E">
        <w:trPr>
          <w:trHeight w:val="287"/>
        </w:trPr>
        <w:tc>
          <w:tcPr>
            <w:tcW w:w="9895" w:type="dxa"/>
            <w:gridSpan w:val="2"/>
            <w:shd w:val="clear" w:color="auto" w:fill="1F4E79" w:themeFill="accent1" w:themeFillShade="80"/>
          </w:tcPr>
          <w:p w14:paraId="6D17E823" w14:textId="77777777" w:rsidR="005A2F42" w:rsidRPr="00B51D1F" w:rsidRDefault="005A2F42" w:rsidP="009B2D68">
            <w:pPr>
              <w:jc w:val="center"/>
              <w:rPr>
                <w:rFonts w:ascii="Arial" w:hAnsi="Arial" w:cs="Arial"/>
                <w:b/>
                <w:color w:val="FFFFFF" w:themeColor="background1"/>
              </w:rPr>
            </w:pPr>
            <w:r w:rsidRPr="00B51D1F">
              <w:rPr>
                <w:rFonts w:ascii="Arial" w:hAnsi="Arial" w:cs="Arial"/>
                <w:b/>
                <w:color w:val="FFFFFF" w:themeColor="background1"/>
              </w:rPr>
              <w:t>Case Summary</w:t>
            </w:r>
          </w:p>
        </w:tc>
      </w:tr>
      <w:tr w:rsidR="005A2F42" w:rsidRPr="00B51D1F" w14:paraId="48C3E785" w14:textId="77777777" w:rsidTr="004E793E">
        <w:trPr>
          <w:trHeight w:val="279"/>
        </w:trPr>
        <w:tc>
          <w:tcPr>
            <w:tcW w:w="9895" w:type="dxa"/>
            <w:gridSpan w:val="2"/>
            <w:shd w:val="clear" w:color="auto" w:fill="auto"/>
          </w:tcPr>
          <w:p w14:paraId="0851A251" w14:textId="77777777" w:rsidR="0050635E" w:rsidRDefault="00615FF3" w:rsidP="0004288F">
            <w:pPr>
              <w:rPr>
                <w:rFonts w:ascii="Arial" w:hAnsi="Arial" w:cs="Arial"/>
              </w:rPr>
            </w:pPr>
            <w:r>
              <w:rPr>
                <w:rFonts w:ascii="Arial" w:hAnsi="Arial" w:cs="Arial"/>
              </w:rPr>
              <w:t xml:space="preserve">On </w:t>
            </w:r>
            <w:r w:rsidR="0004288F">
              <w:rPr>
                <w:rFonts w:ascii="Arial" w:hAnsi="Arial" w:cs="Arial"/>
              </w:rPr>
              <w:t xml:space="preserve">October </w:t>
            </w:r>
            <w:r w:rsidR="0050635E">
              <w:rPr>
                <w:rFonts w:ascii="Arial" w:hAnsi="Arial" w:cs="Arial"/>
              </w:rPr>
              <w:t xml:space="preserve">2, 2019 the Illinois Commerce Commission </w:t>
            </w:r>
            <w:r w:rsidR="0050635E" w:rsidRPr="0050635E">
              <w:rPr>
                <w:rFonts w:ascii="Arial" w:hAnsi="Arial" w:cs="Arial"/>
              </w:rPr>
              <w:t xml:space="preserve">authorized NI-Gas a $167.7 million base rate hike premised upon a 9.73% return on equity (54.2% of capital) and a 7.2% return on a $3.447 billion rate base. The new rates are to take effect </w:t>
            </w:r>
            <w:proofErr w:type="gramStart"/>
            <w:r w:rsidR="0050635E" w:rsidRPr="0050635E">
              <w:rPr>
                <w:rFonts w:ascii="Arial" w:hAnsi="Arial" w:cs="Arial"/>
              </w:rPr>
              <w:t>in the near future</w:t>
            </w:r>
            <w:proofErr w:type="gramEnd"/>
            <w:r w:rsidR="0050635E" w:rsidRPr="0050635E">
              <w:rPr>
                <w:rFonts w:ascii="Arial" w:hAnsi="Arial" w:cs="Arial"/>
              </w:rPr>
              <w:t>.</w:t>
            </w:r>
          </w:p>
          <w:p w14:paraId="3ECCB2C6" w14:textId="77777777" w:rsidR="0050635E" w:rsidRDefault="0050635E" w:rsidP="0004288F">
            <w:pPr>
              <w:rPr>
                <w:rFonts w:ascii="Arial" w:hAnsi="Arial" w:cs="Arial"/>
              </w:rPr>
            </w:pPr>
          </w:p>
          <w:p w14:paraId="4DF33C5B" w14:textId="77777777" w:rsidR="00615FF3" w:rsidRDefault="0050635E" w:rsidP="0004288F">
            <w:pPr>
              <w:rPr>
                <w:rFonts w:ascii="Arial" w:hAnsi="Arial" w:cs="Arial"/>
              </w:rPr>
            </w:pPr>
            <w:r w:rsidRPr="0050635E">
              <w:rPr>
                <w:rFonts w:ascii="Arial" w:hAnsi="Arial" w:cs="Arial"/>
              </w:rPr>
              <w:t xml:space="preserve">The ICC permitted NI-Gas to implement a modified version of its proposed volume balancing adjustment rider to address the impact of changes in sales on the company's recovery of its fixed </w:t>
            </w:r>
            <w:r w:rsidRPr="0050635E">
              <w:rPr>
                <w:rFonts w:ascii="Arial" w:hAnsi="Arial" w:cs="Arial"/>
              </w:rPr>
              <w:lastRenderedPageBreak/>
              <w:t>costs. Implementation of the rider puts NI-Gas on par with several of its Illinois gas utility peers that already use a similar decoupling mechanism.</w:t>
            </w:r>
          </w:p>
          <w:p w14:paraId="075F5484" w14:textId="77777777" w:rsidR="00715A60" w:rsidRDefault="00715A60" w:rsidP="0004288F">
            <w:pPr>
              <w:rPr>
                <w:rFonts w:ascii="Arial" w:hAnsi="Arial" w:cs="Arial"/>
              </w:rPr>
            </w:pPr>
          </w:p>
          <w:p w14:paraId="6F39FD2E" w14:textId="77777777" w:rsidR="00715A60" w:rsidRDefault="00715A60" w:rsidP="00715A60">
            <w:pPr>
              <w:rPr>
                <w:rFonts w:ascii="Arial" w:hAnsi="Arial" w:cs="Arial"/>
              </w:rPr>
            </w:pPr>
            <w:r w:rsidRPr="00715A60">
              <w:rPr>
                <w:rFonts w:ascii="Arial" w:hAnsi="Arial" w:cs="Arial"/>
              </w:rPr>
              <w:t>As reasons for the rate increase request, NI-Gas cited its commitment to “ensure long-term safety and reliability of</w:t>
            </w:r>
            <w:r>
              <w:rPr>
                <w:rFonts w:ascii="Arial" w:hAnsi="Arial" w:cs="Arial"/>
              </w:rPr>
              <w:t xml:space="preserve"> </w:t>
            </w:r>
            <w:r w:rsidRPr="00715A60">
              <w:rPr>
                <w:rFonts w:ascii="Arial" w:hAnsi="Arial" w:cs="Arial"/>
              </w:rPr>
              <w:t>service [and] ... to modernize ... facilities through substantial additional capital investment; ... the inflationary price</w:t>
            </w:r>
            <w:r>
              <w:rPr>
                <w:rFonts w:ascii="Arial" w:hAnsi="Arial" w:cs="Arial"/>
              </w:rPr>
              <w:t xml:space="preserve"> </w:t>
            </w:r>
            <w:r w:rsidRPr="00715A60">
              <w:rPr>
                <w:rFonts w:ascii="Arial" w:hAnsi="Arial" w:cs="Arial"/>
              </w:rPr>
              <w:t>increases in costs associated with that capital investment (e.g., equipment, materials, right-of-way acquisition costs,</w:t>
            </w:r>
            <w:r>
              <w:rPr>
                <w:rFonts w:ascii="Arial" w:hAnsi="Arial" w:cs="Arial"/>
              </w:rPr>
              <w:t xml:space="preserve"> </w:t>
            </w:r>
            <w:r w:rsidRPr="00715A60">
              <w:rPr>
                <w:rFonts w:ascii="Arial" w:hAnsi="Arial" w:cs="Arial"/>
              </w:rPr>
              <w:t>landscape and paving restoration costs, and labor costs)” and “planning for customers’ continued expectations to</w:t>
            </w:r>
            <w:r>
              <w:rPr>
                <w:rFonts w:ascii="Arial" w:hAnsi="Arial" w:cs="Arial"/>
              </w:rPr>
              <w:t xml:space="preserve"> </w:t>
            </w:r>
            <w:r w:rsidRPr="00715A60">
              <w:rPr>
                <w:rFonts w:ascii="Arial" w:hAnsi="Arial" w:cs="Arial"/>
              </w:rPr>
              <w:t>enhance their experience” of using the company’s utility service.</w:t>
            </w:r>
          </w:p>
          <w:p w14:paraId="1EB2B484" w14:textId="77777777" w:rsidR="0004288F" w:rsidRPr="00C01EA6" w:rsidRDefault="0004288F" w:rsidP="0004288F">
            <w:pPr>
              <w:rPr>
                <w:rFonts w:ascii="Arial" w:hAnsi="Arial" w:cs="Arial"/>
              </w:rPr>
            </w:pPr>
          </w:p>
        </w:tc>
      </w:tr>
      <w:tr w:rsidR="008209DD" w:rsidRPr="00B51D1F" w14:paraId="7259DC6E" w14:textId="77777777" w:rsidTr="004E793E">
        <w:trPr>
          <w:trHeight w:val="279"/>
        </w:trPr>
        <w:tc>
          <w:tcPr>
            <w:tcW w:w="9895" w:type="dxa"/>
            <w:gridSpan w:val="2"/>
            <w:shd w:val="clear" w:color="auto" w:fill="1F4E79" w:themeFill="accent1" w:themeFillShade="80"/>
          </w:tcPr>
          <w:p w14:paraId="1E95C2AB" w14:textId="77777777" w:rsidR="008209DD" w:rsidRPr="00B51D1F" w:rsidRDefault="00715A60" w:rsidP="005F3DEB">
            <w:pPr>
              <w:jc w:val="center"/>
              <w:rPr>
                <w:rFonts w:ascii="Arial" w:hAnsi="Arial" w:cs="Arial"/>
                <w:b/>
                <w:color w:val="FFFFFF" w:themeColor="background1"/>
              </w:rPr>
            </w:pPr>
            <w:r>
              <w:rPr>
                <w:rFonts w:ascii="Arial" w:hAnsi="Arial" w:cs="Arial"/>
                <w:b/>
                <w:color w:val="FFFFFF" w:themeColor="background1"/>
              </w:rPr>
              <w:lastRenderedPageBreak/>
              <w:t>October</w:t>
            </w:r>
            <w:r w:rsidR="006F7D43">
              <w:rPr>
                <w:rFonts w:ascii="Arial" w:hAnsi="Arial" w:cs="Arial"/>
                <w:b/>
                <w:color w:val="FFFFFF" w:themeColor="background1"/>
              </w:rPr>
              <w:t xml:space="preserve"> </w:t>
            </w:r>
            <w:r>
              <w:rPr>
                <w:rFonts w:ascii="Arial" w:hAnsi="Arial" w:cs="Arial"/>
                <w:b/>
                <w:color w:val="FFFFFF" w:themeColor="background1"/>
              </w:rPr>
              <w:t>3</w:t>
            </w:r>
            <w:r w:rsidR="00973AEB">
              <w:rPr>
                <w:rFonts w:ascii="Arial" w:hAnsi="Arial" w:cs="Arial"/>
                <w:b/>
                <w:color w:val="FFFFFF" w:themeColor="background1"/>
              </w:rPr>
              <w:t>, 2019</w:t>
            </w:r>
          </w:p>
        </w:tc>
      </w:tr>
      <w:tr w:rsidR="008209DD" w:rsidRPr="00B51D1F" w14:paraId="68AECFCF" w14:textId="77777777" w:rsidTr="002E5982">
        <w:trPr>
          <w:trHeight w:val="279"/>
        </w:trPr>
        <w:tc>
          <w:tcPr>
            <w:tcW w:w="2245" w:type="dxa"/>
            <w:shd w:val="clear" w:color="auto" w:fill="1F4E79" w:themeFill="accent1" w:themeFillShade="80"/>
          </w:tcPr>
          <w:p w14:paraId="7C6A5EA5" w14:textId="77777777" w:rsidR="008209DD" w:rsidRPr="00B51D1F" w:rsidRDefault="008209DD" w:rsidP="00AD3B4B">
            <w:pPr>
              <w:rPr>
                <w:rFonts w:ascii="Arial" w:hAnsi="Arial" w:cs="Arial"/>
                <w:b/>
                <w:color w:val="FFFFFF" w:themeColor="background1"/>
              </w:rPr>
            </w:pPr>
            <w:r w:rsidRPr="00B51D1F">
              <w:rPr>
                <w:rFonts w:ascii="Arial" w:hAnsi="Arial" w:cs="Arial"/>
                <w:b/>
                <w:color w:val="FFFFFF" w:themeColor="background1"/>
              </w:rPr>
              <w:t>Company</w:t>
            </w:r>
          </w:p>
        </w:tc>
        <w:tc>
          <w:tcPr>
            <w:tcW w:w="7650" w:type="dxa"/>
            <w:shd w:val="clear" w:color="auto" w:fill="FFFFFF" w:themeFill="background1"/>
          </w:tcPr>
          <w:p w14:paraId="17BDD55B" w14:textId="77777777" w:rsidR="008209DD" w:rsidRPr="00B51D1F" w:rsidRDefault="00715A60" w:rsidP="00C34414">
            <w:pPr>
              <w:rPr>
                <w:rFonts w:ascii="Arial" w:hAnsi="Arial" w:cs="Arial"/>
              </w:rPr>
            </w:pPr>
            <w:r>
              <w:rPr>
                <w:rFonts w:ascii="Arial" w:hAnsi="Arial" w:cs="Arial"/>
              </w:rPr>
              <w:t>People’s Natural Gas</w:t>
            </w:r>
          </w:p>
        </w:tc>
      </w:tr>
      <w:tr w:rsidR="008209DD" w:rsidRPr="00B51D1F" w14:paraId="3F7A5AF9" w14:textId="77777777" w:rsidTr="002E5982">
        <w:trPr>
          <w:trHeight w:val="279"/>
        </w:trPr>
        <w:tc>
          <w:tcPr>
            <w:tcW w:w="2245" w:type="dxa"/>
            <w:shd w:val="clear" w:color="auto" w:fill="1F4E79" w:themeFill="accent1" w:themeFillShade="80"/>
          </w:tcPr>
          <w:p w14:paraId="15672A8B" w14:textId="77777777" w:rsidR="008209DD" w:rsidRPr="00B51D1F" w:rsidRDefault="003A0B49" w:rsidP="00AD3B4B">
            <w:pPr>
              <w:rPr>
                <w:rFonts w:ascii="Arial" w:hAnsi="Arial" w:cs="Arial"/>
                <w:b/>
                <w:color w:val="FFFFFF" w:themeColor="background1"/>
              </w:rPr>
            </w:pPr>
            <w:r>
              <w:rPr>
                <w:rFonts w:ascii="Arial" w:hAnsi="Arial" w:cs="Arial"/>
                <w:b/>
                <w:color w:val="FFFFFF" w:themeColor="background1"/>
              </w:rPr>
              <w:t>State</w:t>
            </w:r>
          </w:p>
        </w:tc>
        <w:tc>
          <w:tcPr>
            <w:tcW w:w="7650" w:type="dxa"/>
            <w:shd w:val="clear" w:color="auto" w:fill="FFFFFF" w:themeFill="background1"/>
          </w:tcPr>
          <w:p w14:paraId="31D7D104" w14:textId="77777777" w:rsidR="008209DD" w:rsidRPr="00B51D1F" w:rsidRDefault="00715A60" w:rsidP="00CD3DC9">
            <w:pPr>
              <w:rPr>
                <w:rFonts w:ascii="Arial" w:hAnsi="Arial" w:cs="Arial"/>
              </w:rPr>
            </w:pPr>
            <w:r>
              <w:rPr>
                <w:rFonts w:ascii="Arial" w:hAnsi="Arial" w:cs="Arial"/>
              </w:rPr>
              <w:t xml:space="preserve">Pennsylvania </w:t>
            </w:r>
          </w:p>
        </w:tc>
      </w:tr>
      <w:tr w:rsidR="00644EA0" w:rsidRPr="00B51D1F" w14:paraId="267276AC" w14:textId="77777777" w:rsidTr="002E5982">
        <w:trPr>
          <w:trHeight w:val="279"/>
        </w:trPr>
        <w:tc>
          <w:tcPr>
            <w:tcW w:w="2245" w:type="dxa"/>
            <w:shd w:val="clear" w:color="auto" w:fill="1F4E79" w:themeFill="accent1" w:themeFillShade="80"/>
          </w:tcPr>
          <w:p w14:paraId="5400D819" w14:textId="77777777" w:rsidR="00644EA0" w:rsidRPr="00B51D1F" w:rsidRDefault="00644EA0" w:rsidP="00644EA0">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shd w:val="clear" w:color="auto" w:fill="FFFFFF" w:themeFill="background1"/>
          </w:tcPr>
          <w:p w14:paraId="3F6F2886" w14:textId="77777777" w:rsidR="00644EA0" w:rsidRPr="00715A60" w:rsidRDefault="00F103A3" w:rsidP="00644EA0">
            <w:pPr>
              <w:rPr>
                <w:rFonts w:ascii="Arial" w:hAnsi="Arial" w:cs="Arial"/>
                <w:color w:val="0000FF"/>
                <w:u w:val="single"/>
              </w:rPr>
            </w:pPr>
            <w:hyperlink r:id="rId10" w:history="1">
              <w:r w:rsidR="00715A60" w:rsidRPr="00715A60">
                <w:rPr>
                  <w:rStyle w:val="Hyperlink"/>
                  <w:rFonts w:ascii="Arial" w:hAnsi="Arial" w:cs="Arial"/>
                </w:rPr>
                <w:t>R-2018-3006818</w:t>
              </w:r>
            </w:hyperlink>
          </w:p>
        </w:tc>
      </w:tr>
      <w:tr w:rsidR="00644EA0" w:rsidRPr="00B51D1F" w14:paraId="7539149A" w14:textId="77777777" w:rsidTr="002E5982">
        <w:trPr>
          <w:trHeight w:val="279"/>
        </w:trPr>
        <w:tc>
          <w:tcPr>
            <w:tcW w:w="2245" w:type="dxa"/>
            <w:shd w:val="clear" w:color="auto" w:fill="1F4E79" w:themeFill="accent1" w:themeFillShade="80"/>
          </w:tcPr>
          <w:p w14:paraId="103F5DBC" w14:textId="77777777" w:rsidR="00644EA0" w:rsidRPr="00B51D1F" w:rsidRDefault="00644EA0" w:rsidP="00644EA0">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shd w:val="clear" w:color="auto" w:fill="FFFFFF" w:themeFill="background1"/>
          </w:tcPr>
          <w:p w14:paraId="69FBA014" w14:textId="77777777" w:rsidR="00644EA0" w:rsidRPr="001810C6" w:rsidRDefault="00715A60" w:rsidP="001810C6">
            <w:pPr>
              <w:rPr>
                <w:rFonts w:ascii="Arial" w:hAnsi="Arial" w:cs="Arial"/>
              </w:rPr>
            </w:pPr>
            <w:r>
              <w:rPr>
                <w:rFonts w:ascii="Arial" w:hAnsi="Arial" w:cs="Arial"/>
              </w:rPr>
              <w:t>$59,500,000</w:t>
            </w:r>
          </w:p>
        </w:tc>
      </w:tr>
      <w:tr w:rsidR="00644EA0" w:rsidRPr="00B51D1F" w14:paraId="72920B69" w14:textId="77777777" w:rsidTr="002E5982">
        <w:trPr>
          <w:trHeight w:val="279"/>
        </w:trPr>
        <w:tc>
          <w:tcPr>
            <w:tcW w:w="2245" w:type="dxa"/>
            <w:shd w:val="clear" w:color="auto" w:fill="1F4E79" w:themeFill="accent1" w:themeFillShade="80"/>
          </w:tcPr>
          <w:p w14:paraId="29D84305" w14:textId="77777777" w:rsidR="00644EA0" w:rsidRPr="00B51D1F" w:rsidRDefault="00644EA0" w:rsidP="00644EA0">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shd w:val="clear" w:color="auto" w:fill="FFFFFF" w:themeFill="background1"/>
          </w:tcPr>
          <w:p w14:paraId="688FE005" w14:textId="77777777" w:rsidR="00644EA0" w:rsidRPr="00B51D1F" w:rsidRDefault="00715A60" w:rsidP="00644EA0">
            <w:pPr>
              <w:rPr>
                <w:rFonts w:ascii="Arial" w:hAnsi="Arial" w:cs="Arial"/>
              </w:rPr>
            </w:pPr>
            <w:r>
              <w:rPr>
                <w:rFonts w:ascii="Arial" w:hAnsi="Arial" w:cs="Arial"/>
              </w:rPr>
              <w:t>N/A</w:t>
            </w:r>
          </w:p>
        </w:tc>
      </w:tr>
      <w:tr w:rsidR="006531A4" w:rsidRPr="00B51D1F" w14:paraId="51337BCF" w14:textId="77777777" w:rsidTr="002E5982">
        <w:trPr>
          <w:trHeight w:val="279"/>
        </w:trPr>
        <w:tc>
          <w:tcPr>
            <w:tcW w:w="2245" w:type="dxa"/>
            <w:shd w:val="clear" w:color="auto" w:fill="1F4E79" w:themeFill="accent1" w:themeFillShade="80"/>
          </w:tcPr>
          <w:p w14:paraId="67CCB50D" w14:textId="77777777"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Intervenors</w:t>
            </w:r>
          </w:p>
        </w:tc>
        <w:tc>
          <w:tcPr>
            <w:tcW w:w="7650" w:type="dxa"/>
            <w:shd w:val="clear" w:color="auto" w:fill="FFFFFF" w:themeFill="background1"/>
          </w:tcPr>
          <w:p w14:paraId="334AA1F1" w14:textId="77777777" w:rsidR="006531A4" w:rsidRPr="00B51D1F" w:rsidRDefault="00FB52EB" w:rsidP="006531A4">
            <w:pPr>
              <w:rPr>
                <w:rFonts w:ascii="Arial" w:hAnsi="Arial" w:cs="Arial"/>
              </w:rPr>
            </w:pPr>
            <w:r>
              <w:rPr>
                <w:rFonts w:ascii="Arial" w:hAnsi="Arial" w:cs="Arial"/>
              </w:rPr>
              <w:t xml:space="preserve">Community Action Association of PA, CAUSE-PA, NGS/RESA, UWUA Local 612, Duquesne Light, PA Independent Oil and Gas Association, Snyder Brothers, </w:t>
            </w:r>
            <w:proofErr w:type="spellStart"/>
            <w:r>
              <w:rPr>
                <w:rFonts w:ascii="Arial" w:hAnsi="Arial" w:cs="Arial"/>
              </w:rPr>
              <w:t>Equitrans</w:t>
            </w:r>
            <w:proofErr w:type="spellEnd"/>
            <w:r>
              <w:rPr>
                <w:rFonts w:ascii="Arial" w:hAnsi="Arial" w:cs="Arial"/>
              </w:rPr>
              <w:t>, Direct Energy Business LLC, Baker Gas, Marco, and MDS Energy Development.</w:t>
            </w:r>
          </w:p>
        </w:tc>
      </w:tr>
      <w:tr w:rsidR="006531A4" w:rsidRPr="00B51D1F" w14:paraId="03FFB692" w14:textId="77777777" w:rsidTr="004E793E">
        <w:trPr>
          <w:trHeight w:val="279"/>
        </w:trPr>
        <w:tc>
          <w:tcPr>
            <w:tcW w:w="9895" w:type="dxa"/>
            <w:gridSpan w:val="2"/>
            <w:shd w:val="clear" w:color="auto" w:fill="1F4E79" w:themeFill="accent1" w:themeFillShade="80"/>
          </w:tcPr>
          <w:p w14:paraId="3F218532" w14:textId="77777777" w:rsidR="006531A4" w:rsidRPr="00B51D1F" w:rsidRDefault="006531A4" w:rsidP="006531A4">
            <w:pPr>
              <w:jc w:val="center"/>
              <w:rPr>
                <w:rFonts w:ascii="Arial" w:hAnsi="Arial" w:cs="Arial"/>
                <w:b/>
                <w:color w:val="FFFFFF" w:themeColor="background1"/>
              </w:rPr>
            </w:pPr>
          </w:p>
        </w:tc>
      </w:tr>
      <w:tr w:rsidR="006531A4" w:rsidRPr="00B51D1F" w14:paraId="42B00674" w14:textId="77777777" w:rsidTr="004E793E">
        <w:trPr>
          <w:trHeight w:val="279"/>
        </w:trPr>
        <w:tc>
          <w:tcPr>
            <w:tcW w:w="9895" w:type="dxa"/>
            <w:gridSpan w:val="2"/>
            <w:shd w:val="clear" w:color="auto" w:fill="FFFFFF" w:themeFill="background1"/>
          </w:tcPr>
          <w:p w14:paraId="040BA5A2" w14:textId="63F24C0A" w:rsidR="001810C6" w:rsidRDefault="00FB52EB" w:rsidP="00FB52EB">
            <w:pPr>
              <w:tabs>
                <w:tab w:val="left" w:pos="390"/>
                <w:tab w:val="left" w:pos="2280"/>
              </w:tabs>
              <w:rPr>
                <w:rFonts w:ascii="Arial" w:hAnsi="Arial" w:cs="Arial"/>
              </w:rPr>
            </w:pPr>
            <w:r w:rsidRPr="00FB52EB">
              <w:rPr>
                <w:rFonts w:ascii="Arial" w:hAnsi="Arial" w:cs="Arial"/>
              </w:rPr>
              <w:t>A partial rate settlement approve by the Pennsylvania Public Utility Commission on Oct. 3 consolidates the rate structures of Peoples Natural Gas Co. LLC, subsidiary Peoples TWP LLC, which does business as Peoples Gas Co. LLC, and affiliate Equitable Gas Co. LLC, all of which are collectively as PN</w:t>
            </w:r>
            <w:r w:rsidR="00717086">
              <w:rPr>
                <w:rFonts w:ascii="Arial" w:hAnsi="Arial" w:cs="Arial"/>
              </w:rPr>
              <w:t>G</w:t>
            </w:r>
            <w:r w:rsidRPr="00FB52EB">
              <w:rPr>
                <w:rFonts w:ascii="Arial" w:hAnsi="Arial" w:cs="Arial"/>
              </w:rPr>
              <w:t>.</w:t>
            </w:r>
          </w:p>
          <w:p w14:paraId="4DDDD9DE" w14:textId="77777777" w:rsidR="00FB52EB" w:rsidRDefault="00FB52EB" w:rsidP="00FB52EB">
            <w:pPr>
              <w:tabs>
                <w:tab w:val="left" w:pos="390"/>
                <w:tab w:val="left" w:pos="2280"/>
              </w:tabs>
              <w:rPr>
                <w:rFonts w:ascii="Arial" w:hAnsi="Arial" w:cs="Arial"/>
              </w:rPr>
            </w:pPr>
          </w:p>
          <w:p w14:paraId="52FC0552" w14:textId="77777777" w:rsidR="00FB52EB" w:rsidRDefault="00FB52EB" w:rsidP="00FB52EB">
            <w:pPr>
              <w:tabs>
                <w:tab w:val="left" w:pos="390"/>
                <w:tab w:val="left" w:pos="2280"/>
              </w:tabs>
              <w:rPr>
                <w:rFonts w:ascii="Arial" w:hAnsi="Arial" w:cs="Arial"/>
              </w:rPr>
            </w:pPr>
            <w:r w:rsidRPr="00FB52EB">
              <w:rPr>
                <w:rFonts w:ascii="Arial" w:hAnsi="Arial" w:cs="Arial"/>
              </w:rPr>
              <w:t>The partial settlement adopted in the rate case resolved all revenue requirement issues in the case, but the parties had been unable to reach an agreement with respect to proposed changes to PNG's gas main extension program for underserved or unserved areas in the state.</w:t>
            </w:r>
          </w:p>
          <w:p w14:paraId="2964F54E" w14:textId="77777777" w:rsidR="00FB52EB" w:rsidRDefault="00FB52EB" w:rsidP="00FB52EB">
            <w:pPr>
              <w:tabs>
                <w:tab w:val="left" w:pos="390"/>
                <w:tab w:val="left" w:pos="2280"/>
              </w:tabs>
              <w:rPr>
                <w:rFonts w:ascii="Arial" w:hAnsi="Arial" w:cs="Arial"/>
              </w:rPr>
            </w:pPr>
          </w:p>
          <w:p w14:paraId="21237500" w14:textId="77777777" w:rsidR="00FB52EB" w:rsidRPr="00FB52EB" w:rsidRDefault="00FB52EB" w:rsidP="00FB52EB">
            <w:pPr>
              <w:tabs>
                <w:tab w:val="left" w:pos="390"/>
                <w:tab w:val="left" w:pos="2280"/>
              </w:tabs>
              <w:rPr>
                <w:rFonts w:ascii="Arial" w:hAnsi="Arial" w:cs="Arial"/>
              </w:rPr>
            </w:pPr>
            <w:r w:rsidRPr="00FB52EB">
              <w:rPr>
                <w:rFonts w:ascii="Arial" w:hAnsi="Arial" w:cs="Arial"/>
              </w:rPr>
              <w:t>In the rate case, the PNG Companies had sought a $94.8 million increase. Both the stipulated</w:t>
            </w:r>
          </w:p>
          <w:p w14:paraId="684C354C" w14:textId="77777777" w:rsidR="00FB52EB" w:rsidRPr="00FB52EB" w:rsidRDefault="00FB52EB" w:rsidP="00FB52EB">
            <w:pPr>
              <w:tabs>
                <w:tab w:val="left" w:pos="390"/>
                <w:tab w:val="left" w:pos="2280"/>
              </w:tabs>
              <w:rPr>
                <w:rFonts w:ascii="Arial" w:hAnsi="Arial" w:cs="Arial"/>
              </w:rPr>
            </w:pPr>
            <w:r w:rsidRPr="00FB52EB">
              <w:rPr>
                <w:rFonts w:ascii="Arial" w:hAnsi="Arial" w:cs="Arial"/>
              </w:rPr>
              <w:t>and the requested revenue requirements reflect the elimination of certain fees. As such, the</w:t>
            </w:r>
          </w:p>
          <w:p w14:paraId="4EA59C92" w14:textId="77777777" w:rsidR="00FB52EB" w:rsidRPr="00FB52EB" w:rsidRDefault="00FB52EB" w:rsidP="00FB52EB">
            <w:pPr>
              <w:tabs>
                <w:tab w:val="left" w:pos="390"/>
                <w:tab w:val="left" w:pos="2280"/>
              </w:tabs>
              <w:rPr>
                <w:rFonts w:ascii="Arial" w:hAnsi="Arial" w:cs="Arial"/>
              </w:rPr>
            </w:pPr>
            <w:r w:rsidRPr="00FB52EB">
              <w:rPr>
                <w:rFonts w:ascii="Arial" w:hAnsi="Arial" w:cs="Arial"/>
              </w:rPr>
              <w:t xml:space="preserve">approved settlement provides for a $63.4 million base rate increase versus the </w:t>
            </w:r>
            <w:proofErr w:type="spellStart"/>
            <w:r w:rsidRPr="00FB52EB">
              <w:rPr>
                <w:rFonts w:ascii="Arial" w:hAnsi="Arial" w:cs="Arial"/>
              </w:rPr>
              <w:t>companysupported</w:t>
            </w:r>
            <w:proofErr w:type="spellEnd"/>
          </w:p>
          <w:p w14:paraId="42745F76" w14:textId="77777777" w:rsidR="00FB52EB" w:rsidRDefault="00FB52EB" w:rsidP="00FB52EB">
            <w:pPr>
              <w:tabs>
                <w:tab w:val="left" w:pos="390"/>
                <w:tab w:val="left" w:pos="2280"/>
              </w:tabs>
              <w:rPr>
                <w:rFonts w:ascii="Arial" w:hAnsi="Arial" w:cs="Arial"/>
              </w:rPr>
            </w:pPr>
            <w:r w:rsidRPr="00FB52EB">
              <w:rPr>
                <w:rFonts w:ascii="Arial" w:hAnsi="Arial" w:cs="Arial"/>
              </w:rPr>
              <w:t>$99.2 million base rate increase.</w:t>
            </w:r>
          </w:p>
          <w:p w14:paraId="057F0438" w14:textId="77777777" w:rsidR="00FB52EB" w:rsidRPr="00FB52EB" w:rsidRDefault="00FB52EB" w:rsidP="00FB52EB">
            <w:pPr>
              <w:tabs>
                <w:tab w:val="left" w:pos="390"/>
                <w:tab w:val="left" w:pos="2280"/>
              </w:tabs>
              <w:rPr>
                <w:rFonts w:ascii="Arial" w:hAnsi="Arial" w:cs="Arial"/>
              </w:rPr>
            </w:pPr>
          </w:p>
          <w:p w14:paraId="74D17D5B" w14:textId="77777777" w:rsidR="00FB52EB" w:rsidRPr="00FB52EB" w:rsidRDefault="00FB52EB" w:rsidP="00FB52EB">
            <w:pPr>
              <w:tabs>
                <w:tab w:val="left" w:pos="390"/>
                <w:tab w:val="left" w:pos="2280"/>
              </w:tabs>
              <w:rPr>
                <w:rFonts w:ascii="Arial" w:hAnsi="Arial" w:cs="Arial"/>
              </w:rPr>
            </w:pPr>
            <w:r w:rsidRPr="00FB52EB">
              <w:rPr>
                <w:rFonts w:ascii="Arial" w:hAnsi="Arial" w:cs="Arial"/>
              </w:rPr>
              <w:t>The now-approved settlement is silent with respect to the rate of return and rate base values</w:t>
            </w:r>
          </w:p>
          <w:p w14:paraId="23C301EC" w14:textId="77777777" w:rsidR="00FB52EB" w:rsidRPr="00FB52EB" w:rsidRDefault="00FB52EB" w:rsidP="00FB52EB">
            <w:pPr>
              <w:tabs>
                <w:tab w:val="left" w:pos="390"/>
                <w:tab w:val="left" w:pos="2280"/>
              </w:tabs>
              <w:rPr>
                <w:rFonts w:ascii="Arial" w:hAnsi="Arial" w:cs="Arial"/>
              </w:rPr>
            </w:pPr>
            <w:r w:rsidRPr="00FB52EB">
              <w:rPr>
                <w:rFonts w:ascii="Arial" w:hAnsi="Arial" w:cs="Arial"/>
              </w:rPr>
              <w:t>underlying the stipulated increase. However, PNG is to use the equity return for gas utilities</w:t>
            </w:r>
          </w:p>
          <w:p w14:paraId="0B2D89F0" w14:textId="77777777" w:rsidR="00FB52EB" w:rsidRPr="00FB52EB" w:rsidRDefault="00FB52EB" w:rsidP="00FB52EB">
            <w:pPr>
              <w:tabs>
                <w:tab w:val="left" w:pos="390"/>
                <w:tab w:val="left" w:pos="2280"/>
              </w:tabs>
              <w:rPr>
                <w:rFonts w:ascii="Arial" w:hAnsi="Arial" w:cs="Arial"/>
              </w:rPr>
            </w:pPr>
            <w:r w:rsidRPr="00FB52EB">
              <w:rPr>
                <w:rFonts w:ascii="Arial" w:hAnsi="Arial" w:cs="Arial"/>
              </w:rPr>
              <w:t>determined by the PUC each quarter based on the commission's Quarterly Report on Utility</w:t>
            </w:r>
          </w:p>
          <w:p w14:paraId="6D116F70" w14:textId="77777777" w:rsidR="00FB52EB" w:rsidRPr="00FB52EB" w:rsidRDefault="00FB52EB" w:rsidP="00FB52EB">
            <w:pPr>
              <w:tabs>
                <w:tab w:val="left" w:pos="390"/>
                <w:tab w:val="left" w:pos="2280"/>
              </w:tabs>
              <w:rPr>
                <w:rFonts w:ascii="Arial" w:hAnsi="Arial" w:cs="Arial"/>
              </w:rPr>
            </w:pPr>
            <w:r w:rsidRPr="00FB52EB">
              <w:rPr>
                <w:rFonts w:ascii="Arial" w:hAnsi="Arial" w:cs="Arial"/>
              </w:rPr>
              <w:t>Earnings, to calculate the revenue requirement under the distribution system improvement</w:t>
            </w:r>
          </w:p>
          <w:p w14:paraId="50ECFED1" w14:textId="77777777" w:rsidR="00FB52EB" w:rsidRDefault="00FB52EB" w:rsidP="00FB52EB">
            <w:pPr>
              <w:tabs>
                <w:tab w:val="left" w:pos="390"/>
                <w:tab w:val="left" w:pos="2280"/>
              </w:tabs>
              <w:rPr>
                <w:rFonts w:ascii="Arial" w:hAnsi="Arial" w:cs="Arial"/>
              </w:rPr>
            </w:pPr>
            <w:r w:rsidRPr="00FB52EB">
              <w:rPr>
                <w:rFonts w:ascii="Arial" w:hAnsi="Arial" w:cs="Arial"/>
              </w:rPr>
              <w:t>charge, or DSIC.</w:t>
            </w:r>
          </w:p>
          <w:p w14:paraId="2EF87DC1" w14:textId="77777777" w:rsidR="00FB52EB" w:rsidRPr="00FB52EB" w:rsidRDefault="00FB52EB" w:rsidP="00FB52EB">
            <w:pPr>
              <w:tabs>
                <w:tab w:val="left" w:pos="390"/>
                <w:tab w:val="left" w:pos="2280"/>
              </w:tabs>
              <w:rPr>
                <w:rFonts w:ascii="Arial" w:hAnsi="Arial" w:cs="Arial"/>
              </w:rPr>
            </w:pPr>
          </w:p>
          <w:p w14:paraId="0DFD2930" w14:textId="77777777" w:rsidR="00FB52EB" w:rsidRPr="00FB52EB" w:rsidRDefault="00FB52EB" w:rsidP="00FB52EB">
            <w:pPr>
              <w:tabs>
                <w:tab w:val="left" w:pos="390"/>
                <w:tab w:val="left" w:pos="2280"/>
              </w:tabs>
              <w:rPr>
                <w:rFonts w:ascii="Arial" w:hAnsi="Arial" w:cs="Arial"/>
              </w:rPr>
            </w:pPr>
            <w:r w:rsidRPr="00FB52EB">
              <w:rPr>
                <w:rFonts w:ascii="Arial" w:hAnsi="Arial" w:cs="Arial"/>
              </w:rPr>
              <w:t>PNG will be permitted to include eligible plant additions in the DSIC once the total eligible DSIC</w:t>
            </w:r>
          </w:p>
          <w:p w14:paraId="4421C245" w14:textId="77777777" w:rsidR="00FB52EB" w:rsidRPr="00FB52EB" w:rsidRDefault="00FB52EB" w:rsidP="00FB52EB">
            <w:pPr>
              <w:tabs>
                <w:tab w:val="left" w:pos="390"/>
                <w:tab w:val="left" w:pos="2280"/>
              </w:tabs>
              <w:rPr>
                <w:rFonts w:ascii="Arial" w:hAnsi="Arial" w:cs="Arial"/>
              </w:rPr>
            </w:pPr>
            <w:r w:rsidRPr="00FB52EB">
              <w:rPr>
                <w:rFonts w:ascii="Arial" w:hAnsi="Arial" w:cs="Arial"/>
              </w:rPr>
              <w:t>balance exceed the levels projected by the company for the future test year ending October 31,</w:t>
            </w:r>
          </w:p>
          <w:p w14:paraId="5E26B4DF" w14:textId="77777777" w:rsidR="00FB52EB" w:rsidRPr="00FB52EB" w:rsidRDefault="00FB52EB" w:rsidP="00FB52EB">
            <w:pPr>
              <w:tabs>
                <w:tab w:val="left" w:pos="390"/>
                <w:tab w:val="left" w:pos="2280"/>
              </w:tabs>
              <w:rPr>
                <w:rFonts w:ascii="Arial" w:hAnsi="Arial" w:cs="Arial"/>
              </w:rPr>
            </w:pPr>
            <w:r w:rsidRPr="00FB52EB">
              <w:rPr>
                <w:rFonts w:ascii="Arial" w:hAnsi="Arial" w:cs="Arial"/>
              </w:rPr>
              <w:t>2020, implying that the investments through that date are reflected in the revenue requirement</w:t>
            </w:r>
          </w:p>
          <w:p w14:paraId="0DF5A6C2" w14:textId="77777777" w:rsidR="00FB52EB" w:rsidRDefault="00FB52EB" w:rsidP="00FB52EB">
            <w:pPr>
              <w:tabs>
                <w:tab w:val="left" w:pos="390"/>
                <w:tab w:val="left" w:pos="2280"/>
              </w:tabs>
              <w:rPr>
                <w:rFonts w:ascii="Arial" w:hAnsi="Arial" w:cs="Arial"/>
              </w:rPr>
            </w:pPr>
            <w:r w:rsidRPr="00FB52EB">
              <w:rPr>
                <w:rFonts w:ascii="Arial" w:hAnsi="Arial" w:cs="Arial"/>
              </w:rPr>
              <w:t>in the instant case.</w:t>
            </w:r>
          </w:p>
          <w:p w14:paraId="240B087E" w14:textId="77777777" w:rsidR="00FB52EB" w:rsidRPr="00FB52EB" w:rsidRDefault="00FB52EB" w:rsidP="00FB52EB">
            <w:pPr>
              <w:tabs>
                <w:tab w:val="left" w:pos="390"/>
                <w:tab w:val="left" w:pos="2280"/>
              </w:tabs>
              <w:rPr>
                <w:rFonts w:ascii="Arial" w:hAnsi="Arial" w:cs="Arial"/>
              </w:rPr>
            </w:pPr>
          </w:p>
          <w:p w14:paraId="56517D19" w14:textId="77777777" w:rsidR="00FB52EB" w:rsidRPr="00FB52EB" w:rsidRDefault="00FB52EB" w:rsidP="00FB52EB">
            <w:pPr>
              <w:tabs>
                <w:tab w:val="left" w:pos="390"/>
                <w:tab w:val="left" w:pos="2280"/>
              </w:tabs>
              <w:rPr>
                <w:rFonts w:ascii="Arial" w:hAnsi="Arial" w:cs="Arial"/>
              </w:rPr>
            </w:pPr>
            <w:r w:rsidRPr="00FB52EB">
              <w:rPr>
                <w:rFonts w:ascii="Arial" w:hAnsi="Arial" w:cs="Arial"/>
              </w:rPr>
              <w:t>The settlement addressed all revenue requirement issues in the case but left for litigation</w:t>
            </w:r>
          </w:p>
          <w:p w14:paraId="0F39122F" w14:textId="77777777" w:rsidR="00FB52EB" w:rsidRPr="00FB52EB" w:rsidRDefault="00FB52EB" w:rsidP="00FB52EB">
            <w:pPr>
              <w:tabs>
                <w:tab w:val="left" w:pos="390"/>
                <w:tab w:val="left" w:pos="2280"/>
              </w:tabs>
              <w:rPr>
                <w:rFonts w:ascii="Arial" w:hAnsi="Arial" w:cs="Arial"/>
              </w:rPr>
            </w:pPr>
            <w:r w:rsidRPr="00FB52EB">
              <w:rPr>
                <w:rFonts w:ascii="Arial" w:hAnsi="Arial" w:cs="Arial"/>
              </w:rPr>
              <w:t>issues related to the company's proposal to expand the availability of natural gas service to</w:t>
            </w:r>
          </w:p>
          <w:p w14:paraId="1B7B5058" w14:textId="77777777" w:rsidR="00FB52EB" w:rsidRPr="00FB52EB" w:rsidRDefault="00FB52EB" w:rsidP="00FB52EB">
            <w:pPr>
              <w:tabs>
                <w:tab w:val="left" w:pos="390"/>
                <w:tab w:val="left" w:pos="2280"/>
              </w:tabs>
              <w:rPr>
                <w:rFonts w:ascii="Arial" w:hAnsi="Arial" w:cs="Arial"/>
              </w:rPr>
            </w:pPr>
            <w:r w:rsidRPr="00FB52EB">
              <w:rPr>
                <w:rFonts w:ascii="Arial" w:hAnsi="Arial" w:cs="Arial"/>
              </w:rPr>
              <w:t>currently unserved areas. Currently, PNG does not offer customers a standard mains footage</w:t>
            </w:r>
          </w:p>
          <w:p w14:paraId="64C60D71" w14:textId="77777777" w:rsidR="00FB52EB" w:rsidRPr="00FB52EB" w:rsidRDefault="00FB52EB" w:rsidP="00FB52EB">
            <w:pPr>
              <w:tabs>
                <w:tab w:val="left" w:pos="390"/>
                <w:tab w:val="left" w:pos="2280"/>
              </w:tabs>
              <w:rPr>
                <w:rFonts w:ascii="Arial" w:hAnsi="Arial" w:cs="Arial"/>
              </w:rPr>
            </w:pPr>
            <w:r w:rsidRPr="00FB52EB">
              <w:rPr>
                <w:rFonts w:ascii="Arial" w:hAnsi="Arial" w:cs="Arial"/>
              </w:rPr>
              <w:t>allowance to connect to its natural gas system but rather evaluates extensions on an individual</w:t>
            </w:r>
          </w:p>
          <w:p w14:paraId="1CFEA136" w14:textId="77777777" w:rsidR="00FB52EB" w:rsidRDefault="00FB52EB" w:rsidP="00FB52EB">
            <w:pPr>
              <w:tabs>
                <w:tab w:val="left" w:pos="390"/>
                <w:tab w:val="left" w:pos="2280"/>
              </w:tabs>
              <w:rPr>
                <w:rFonts w:ascii="Arial" w:hAnsi="Arial" w:cs="Arial"/>
              </w:rPr>
            </w:pPr>
            <w:r w:rsidRPr="00FB52EB">
              <w:rPr>
                <w:rFonts w:ascii="Arial" w:hAnsi="Arial" w:cs="Arial"/>
              </w:rPr>
              <w:t>basis.</w:t>
            </w:r>
          </w:p>
          <w:p w14:paraId="6F7B6370" w14:textId="77777777" w:rsidR="00FB52EB" w:rsidRPr="00FB52EB" w:rsidRDefault="00FB52EB" w:rsidP="00FB52EB">
            <w:pPr>
              <w:tabs>
                <w:tab w:val="left" w:pos="390"/>
                <w:tab w:val="left" w:pos="2280"/>
              </w:tabs>
              <w:rPr>
                <w:rFonts w:ascii="Arial" w:hAnsi="Arial" w:cs="Arial"/>
              </w:rPr>
            </w:pPr>
          </w:p>
          <w:p w14:paraId="6BA2C32F" w14:textId="77777777" w:rsidR="00FB52EB" w:rsidRPr="00FB52EB" w:rsidRDefault="00FB52EB" w:rsidP="00FB52EB">
            <w:pPr>
              <w:tabs>
                <w:tab w:val="left" w:pos="390"/>
                <w:tab w:val="left" w:pos="2280"/>
              </w:tabs>
              <w:rPr>
                <w:rFonts w:ascii="Arial" w:hAnsi="Arial" w:cs="Arial"/>
              </w:rPr>
            </w:pPr>
            <w:r w:rsidRPr="00FB52EB">
              <w:rPr>
                <w:rFonts w:ascii="Arial" w:hAnsi="Arial" w:cs="Arial"/>
              </w:rPr>
              <w:t>Under the company proposal in this case, PNG would install the first 150 feet of main line</w:t>
            </w:r>
          </w:p>
          <w:p w14:paraId="5E26D9E2" w14:textId="77777777" w:rsidR="00FB52EB" w:rsidRPr="00FB52EB" w:rsidRDefault="00FB52EB" w:rsidP="00FB52EB">
            <w:pPr>
              <w:tabs>
                <w:tab w:val="left" w:pos="390"/>
                <w:tab w:val="left" w:pos="2280"/>
              </w:tabs>
              <w:rPr>
                <w:rFonts w:ascii="Arial" w:hAnsi="Arial" w:cs="Arial"/>
              </w:rPr>
            </w:pPr>
            <w:r w:rsidRPr="00FB52EB">
              <w:rPr>
                <w:rFonts w:ascii="Arial" w:hAnsi="Arial" w:cs="Arial"/>
              </w:rPr>
              <w:t>without charge to residential customers. There would be no rate credit if the extension were</w:t>
            </w:r>
          </w:p>
          <w:p w14:paraId="13819E07" w14:textId="77777777" w:rsidR="00FB52EB" w:rsidRPr="00FB52EB" w:rsidRDefault="00FB52EB" w:rsidP="00FB52EB">
            <w:pPr>
              <w:tabs>
                <w:tab w:val="left" w:pos="390"/>
                <w:tab w:val="left" w:pos="2280"/>
              </w:tabs>
              <w:rPr>
                <w:rFonts w:ascii="Arial" w:hAnsi="Arial" w:cs="Arial"/>
              </w:rPr>
            </w:pPr>
            <w:r w:rsidRPr="00FB52EB">
              <w:rPr>
                <w:rFonts w:ascii="Arial" w:hAnsi="Arial" w:cs="Arial"/>
              </w:rPr>
              <w:t>less than 150 feet. The PUC declined to adopt a motion by Commissioner Place to require</w:t>
            </w:r>
          </w:p>
          <w:p w14:paraId="6E982DBC" w14:textId="77777777" w:rsidR="00FB52EB" w:rsidRPr="00FB52EB" w:rsidRDefault="00FB52EB" w:rsidP="00FB52EB">
            <w:pPr>
              <w:tabs>
                <w:tab w:val="left" w:pos="390"/>
                <w:tab w:val="left" w:pos="2280"/>
              </w:tabs>
              <w:rPr>
                <w:rFonts w:ascii="Arial" w:hAnsi="Arial" w:cs="Arial"/>
              </w:rPr>
            </w:pPr>
            <w:r w:rsidRPr="00FB52EB">
              <w:rPr>
                <w:rFonts w:ascii="Arial" w:hAnsi="Arial" w:cs="Arial"/>
              </w:rPr>
              <w:t>PNG to annually file information with respect to the charges levied under the new updated main</w:t>
            </w:r>
          </w:p>
          <w:p w14:paraId="5F1F722B" w14:textId="77777777" w:rsidR="00FB52EB" w:rsidRDefault="00FB52EB" w:rsidP="00FB52EB">
            <w:pPr>
              <w:tabs>
                <w:tab w:val="left" w:pos="390"/>
                <w:tab w:val="left" w:pos="2280"/>
              </w:tabs>
              <w:rPr>
                <w:rFonts w:ascii="Arial" w:hAnsi="Arial" w:cs="Arial"/>
              </w:rPr>
            </w:pPr>
            <w:r w:rsidRPr="00FB52EB">
              <w:rPr>
                <w:rFonts w:ascii="Arial" w:hAnsi="Arial" w:cs="Arial"/>
              </w:rPr>
              <w:t>extension program.</w:t>
            </w:r>
          </w:p>
          <w:p w14:paraId="546BB29D" w14:textId="77777777" w:rsidR="00FB52EB" w:rsidRPr="00B51D1F" w:rsidRDefault="00FB52EB" w:rsidP="00FB52EB">
            <w:pPr>
              <w:tabs>
                <w:tab w:val="left" w:pos="390"/>
                <w:tab w:val="left" w:pos="2280"/>
              </w:tabs>
              <w:rPr>
                <w:rFonts w:ascii="Arial" w:hAnsi="Arial" w:cs="Arial"/>
              </w:rPr>
            </w:pPr>
          </w:p>
        </w:tc>
      </w:tr>
      <w:tr w:rsidR="006531A4" w:rsidRPr="00B51D1F" w14:paraId="3CFA0F33" w14:textId="77777777" w:rsidTr="004E793E">
        <w:trPr>
          <w:trHeight w:val="263"/>
        </w:trPr>
        <w:tc>
          <w:tcPr>
            <w:tcW w:w="9895" w:type="dxa"/>
            <w:gridSpan w:val="2"/>
            <w:shd w:val="clear" w:color="auto" w:fill="1F4E79" w:themeFill="accent1" w:themeFillShade="80"/>
          </w:tcPr>
          <w:p w14:paraId="75F46CAD" w14:textId="77777777" w:rsidR="006531A4" w:rsidRPr="00B51D1F" w:rsidRDefault="00FB52EB" w:rsidP="006531A4">
            <w:pPr>
              <w:jc w:val="center"/>
              <w:rPr>
                <w:rFonts w:ascii="Arial" w:hAnsi="Arial" w:cs="Arial"/>
                <w:b/>
                <w:color w:val="FFFFFF" w:themeColor="background1"/>
              </w:rPr>
            </w:pPr>
            <w:r>
              <w:rPr>
                <w:rFonts w:ascii="Arial" w:hAnsi="Arial" w:cs="Arial"/>
                <w:b/>
                <w:color w:val="FFFFFF" w:themeColor="background1"/>
              </w:rPr>
              <w:lastRenderedPageBreak/>
              <w:t>October</w:t>
            </w:r>
            <w:r w:rsidR="0087324D">
              <w:rPr>
                <w:rFonts w:ascii="Arial" w:hAnsi="Arial" w:cs="Arial"/>
                <w:b/>
                <w:color w:val="FFFFFF" w:themeColor="background1"/>
              </w:rPr>
              <w:t xml:space="preserve"> </w:t>
            </w:r>
            <w:r>
              <w:rPr>
                <w:rFonts w:ascii="Arial" w:hAnsi="Arial" w:cs="Arial"/>
                <w:b/>
                <w:color w:val="FFFFFF" w:themeColor="background1"/>
              </w:rPr>
              <w:t>8</w:t>
            </w:r>
            <w:r w:rsidR="00973AEB">
              <w:rPr>
                <w:rFonts w:ascii="Arial" w:hAnsi="Arial" w:cs="Arial"/>
                <w:b/>
                <w:color w:val="FFFFFF" w:themeColor="background1"/>
              </w:rPr>
              <w:t>, 2019</w:t>
            </w:r>
          </w:p>
        </w:tc>
      </w:tr>
      <w:tr w:rsidR="006531A4" w:rsidRPr="00B51D1F" w14:paraId="538DEEAE" w14:textId="77777777" w:rsidTr="002E5982">
        <w:trPr>
          <w:trHeight w:val="161"/>
        </w:trPr>
        <w:tc>
          <w:tcPr>
            <w:tcW w:w="2245" w:type="dxa"/>
            <w:shd w:val="clear" w:color="auto" w:fill="1F4E79" w:themeFill="accent1" w:themeFillShade="80"/>
          </w:tcPr>
          <w:p w14:paraId="6025F629" w14:textId="77777777"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14:paraId="2B616C8C" w14:textId="77777777" w:rsidR="006531A4" w:rsidRPr="00B51D1F" w:rsidRDefault="00FB52EB" w:rsidP="006531A4">
            <w:pPr>
              <w:rPr>
                <w:rFonts w:ascii="Arial" w:hAnsi="Arial" w:cs="Arial"/>
              </w:rPr>
            </w:pPr>
            <w:r>
              <w:rPr>
                <w:rFonts w:ascii="Arial" w:hAnsi="Arial" w:cs="Arial"/>
              </w:rPr>
              <w:t>Avista Corp.</w:t>
            </w:r>
          </w:p>
        </w:tc>
      </w:tr>
      <w:tr w:rsidR="006531A4" w:rsidRPr="00B51D1F" w14:paraId="43322B0A" w14:textId="77777777" w:rsidTr="002E5982">
        <w:trPr>
          <w:trHeight w:val="279"/>
        </w:trPr>
        <w:tc>
          <w:tcPr>
            <w:tcW w:w="2245" w:type="dxa"/>
            <w:shd w:val="clear" w:color="auto" w:fill="1F4E79" w:themeFill="accent1" w:themeFillShade="80"/>
          </w:tcPr>
          <w:p w14:paraId="070A6F6B" w14:textId="77777777" w:rsidR="006531A4" w:rsidRPr="00B51D1F" w:rsidRDefault="006531A4" w:rsidP="006531A4">
            <w:pPr>
              <w:rPr>
                <w:rFonts w:ascii="Arial" w:hAnsi="Arial" w:cs="Arial"/>
                <w:b/>
                <w:color w:val="FFFFFF" w:themeColor="background1"/>
              </w:rPr>
            </w:pPr>
            <w:r>
              <w:rPr>
                <w:rFonts w:ascii="Arial" w:hAnsi="Arial" w:cs="Arial"/>
                <w:b/>
                <w:color w:val="FFFFFF" w:themeColor="background1"/>
              </w:rPr>
              <w:t>State</w:t>
            </w:r>
          </w:p>
        </w:tc>
        <w:tc>
          <w:tcPr>
            <w:tcW w:w="7650" w:type="dxa"/>
          </w:tcPr>
          <w:p w14:paraId="3661060E" w14:textId="77777777" w:rsidR="006531A4" w:rsidRPr="00B51D1F" w:rsidRDefault="00FB52EB" w:rsidP="006531A4">
            <w:pPr>
              <w:rPr>
                <w:rFonts w:ascii="Arial" w:hAnsi="Arial" w:cs="Arial"/>
              </w:rPr>
            </w:pPr>
            <w:r>
              <w:rPr>
                <w:rFonts w:ascii="Arial" w:hAnsi="Arial" w:cs="Arial"/>
              </w:rPr>
              <w:t>Oregon</w:t>
            </w:r>
          </w:p>
        </w:tc>
      </w:tr>
      <w:tr w:rsidR="006531A4" w:rsidRPr="00B51D1F" w14:paraId="4C76539A" w14:textId="77777777" w:rsidTr="002E5982">
        <w:trPr>
          <w:trHeight w:val="263"/>
        </w:trPr>
        <w:tc>
          <w:tcPr>
            <w:tcW w:w="2245" w:type="dxa"/>
            <w:shd w:val="clear" w:color="auto" w:fill="1F4E79" w:themeFill="accent1" w:themeFillShade="80"/>
          </w:tcPr>
          <w:p w14:paraId="76AA044F" w14:textId="77777777"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14:paraId="73743731" w14:textId="77777777" w:rsidR="006531A4" w:rsidRPr="001810C6" w:rsidRDefault="00F103A3" w:rsidP="001810C6">
            <w:pPr>
              <w:rPr>
                <w:rFonts w:ascii="Arial" w:hAnsi="Arial" w:cs="Arial"/>
              </w:rPr>
            </w:pPr>
            <w:hyperlink r:id="rId11" w:history="1">
              <w:r w:rsidR="001A2D43" w:rsidRPr="001A2D43">
                <w:rPr>
                  <w:rStyle w:val="Hyperlink"/>
                  <w:rFonts w:ascii="Arial" w:hAnsi="Arial" w:cs="Arial"/>
                </w:rPr>
                <w:t>Docket No. UG-366</w:t>
              </w:r>
            </w:hyperlink>
          </w:p>
        </w:tc>
      </w:tr>
      <w:tr w:rsidR="006531A4" w:rsidRPr="00B51D1F" w14:paraId="43D18E48" w14:textId="77777777" w:rsidTr="002E5982">
        <w:trPr>
          <w:trHeight w:val="279"/>
        </w:trPr>
        <w:tc>
          <w:tcPr>
            <w:tcW w:w="2245" w:type="dxa"/>
            <w:shd w:val="clear" w:color="auto" w:fill="1F4E79" w:themeFill="accent1" w:themeFillShade="80"/>
          </w:tcPr>
          <w:p w14:paraId="72721E13" w14:textId="77777777"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14:paraId="1EF8A4A8" w14:textId="77777777" w:rsidR="006531A4" w:rsidRPr="00B51D1F" w:rsidRDefault="001A2D43" w:rsidP="006531A4">
            <w:pPr>
              <w:rPr>
                <w:rFonts w:ascii="Arial" w:hAnsi="Arial" w:cs="Arial"/>
              </w:rPr>
            </w:pPr>
            <w:r>
              <w:rPr>
                <w:rFonts w:ascii="Arial" w:hAnsi="Arial" w:cs="Arial"/>
              </w:rPr>
              <w:t>$3,600,000</w:t>
            </w:r>
          </w:p>
        </w:tc>
      </w:tr>
      <w:tr w:rsidR="006531A4" w:rsidRPr="00B51D1F" w14:paraId="59FBD7E4" w14:textId="77777777" w:rsidTr="002E5982">
        <w:trPr>
          <w:trHeight w:val="263"/>
        </w:trPr>
        <w:tc>
          <w:tcPr>
            <w:tcW w:w="2245" w:type="dxa"/>
            <w:shd w:val="clear" w:color="auto" w:fill="1F4E79" w:themeFill="accent1" w:themeFillShade="80"/>
          </w:tcPr>
          <w:p w14:paraId="594C4469" w14:textId="77777777"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14:paraId="5DE94B55" w14:textId="77777777" w:rsidR="006531A4" w:rsidRPr="00B51D1F" w:rsidRDefault="001A2D43" w:rsidP="006531A4">
            <w:pPr>
              <w:rPr>
                <w:rFonts w:ascii="Arial" w:hAnsi="Arial" w:cs="Arial"/>
              </w:rPr>
            </w:pPr>
            <w:r>
              <w:rPr>
                <w:rFonts w:ascii="Arial" w:hAnsi="Arial" w:cs="Arial"/>
              </w:rPr>
              <w:t>9.4%</w:t>
            </w:r>
          </w:p>
        </w:tc>
      </w:tr>
      <w:tr w:rsidR="006531A4" w:rsidRPr="00B51D1F" w14:paraId="7D5D3E12" w14:textId="77777777" w:rsidTr="002E5982">
        <w:trPr>
          <w:trHeight w:val="279"/>
        </w:trPr>
        <w:tc>
          <w:tcPr>
            <w:tcW w:w="2245" w:type="dxa"/>
            <w:shd w:val="clear" w:color="auto" w:fill="1F4E79" w:themeFill="accent1" w:themeFillShade="80"/>
          </w:tcPr>
          <w:p w14:paraId="2D9621C4" w14:textId="77777777"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Intervenors</w:t>
            </w:r>
          </w:p>
        </w:tc>
        <w:tc>
          <w:tcPr>
            <w:tcW w:w="7650" w:type="dxa"/>
          </w:tcPr>
          <w:p w14:paraId="739A312B" w14:textId="77777777" w:rsidR="006531A4" w:rsidRPr="00B51D1F" w:rsidRDefault="001A2D43" w:rsidP="006531A4">
            <w:pPr>
              <w:rPr>
                <w:rFonts w:ascii="Arial" w:hAnsi="Arial" w:cs="Arial"/>
                <w:szCs w:val="18"/>
                <w:shd w:val="clear" w:color="auto" w:fill="FFFFFF"/>
              </w:rPr>
            </w:pPr>
            <w:r>
              <w:rPr>
                <w:rFonts w:ascii="Arial" w:hAnsi="Arial" w:cs="Arial"/>
                <w:szCs w:val="18"/>
                <w:shd w:val="clear" w:color="auto" w:fill="FFFFFF"/>
              </w:rPr>
              <w:t xml:space="preserve">Citizens Utility Board of Oregon and </w:t>
            </w:r>
            <w:r w:rsidRPr="001A2D43">
              <w:rPr>
                <w:rFonts w:ascii="Arial" w:hAnsi="Arial" w:cs="Arial"/>
                <w:szCs w:val="18"/>
                <w:shd w:val="clear" w:color="auto" w:fill="FFFFFF"/>
              </w:rPr>
              <w:t>Alliance of Western Energy Consumers</w:t>
            </w:r>
          </w:p>
        </w:tc>
      </w:tr>
      <w:tr w:rsidR="006531A4" w:rsidRPr="00B51D1F" w14:paraId="4B1C6495" w14:textId="77777777" w:rsidTr="004E793E">
        <w:trPr>
          <w:trHeight w:val="263"/>
        </w:trPr>
        <w:tc>
          <w:tcPr>
            <w:tcW w:w="9895" w:type="dxa"/>
            <w:gridSpan w:val="2"/>
            <w:shd w:val="clear" w:color="auto" w:fill="1F4E79" w:themeFill="accent1" w:themeFillShade="80"/>
          </w:tcPr>
          <w:p w14:paraId="7D2337B0" w14:textId="77777777" w:rsidR="006531A4" w:rsidRPr="00B51D1F" w:rsidRDefault="006531A4" w:rsidP="006531A4">
            <w:pPr>
              <w:tabs>
                <w:tab w:val="left" w:pos="240"/>
                <w:tab w:val="center" w:pos="4839"/>
              </w:tabs>
              <w:rPr>
                <w:rFonts w:ascii="Arial" w:hAnsi="Arial" w:cs="Arial"/>
                <w:b/>
                <w:color w:val="FFFFFF" w:themeColor="background1"/>
              </w:rPr>
            </w:pPr>
            <w:r w:rsidRPr="00B51D1F">
              <w:rPr>
                <w:rFonts w:ascii="Arial" w:hAnsi="Arial" w:cs="Arial"/>
                <w:b/>
                <w:color w:val="FFFFFF" w:themeColor="background1"/>
              </w:rPr>
              <w:tab/>
            </w:r>
            <w:r w:rsidRPr="00B51D1F">
              <w:rPr>
                <w:rFonts w:ascii="Arial" w:hAnsi="Arial" w:cs="Arial"/>
                <w:b/>
                <w:color w:val="FFFFFF" w:themeColor="background1"/>
              </w:rPr>
              <w:tab/>
              <w:t>Case Summary</w:t>
            </w:r>
          </w:p>
        </w:tc>
      </w:tr>
      <w:tr w:rsidR="006531A4" w:rsidRPr="00B51D1F" w14:paraId="065BC67E" w14:textId="77777777" w:rsidTr="004E793E">
        <w:trPr>
          <w:trHeight w:val="263"/>
        </w:trPr>
        <w:tc>
          <w:tcPr>
            <w:tcW w:w="9895" w:type="dxa"/>
            <w:gridSpan w:val="2"/>
            <w:shd w:val="clear" w:color="auto" w:fill="FFFFFF" w:themeFill="background1"/>
          </w:tcPr>
          <w:p w14:paraId="1B4B7588" w14:textId="77777777" w:rsidR="001A2D43" w:rsidRPr="001A2D43" w:rsidRDefault="001A2D43" w:rsidP="001A2D43">
            <w:pPr>
              <w:tabs>
                <w:tab w:val="left" w:pos="240"/>
                <w:tab w:val="center" w:pos="4839"/>
              </w:tabs>
              <w:rPr>
                <w:rFonts w:ascii="Arial" w:hAnsi="Arial" w:cs="Arial"/>
              </w:rPr>
            </w:pPr>
            <w:r w:rsidRPr="001A2D43">
              <w:rPr>
                <w:rFonts w:ascii="Arial" w:hAnsi="Arial" w:cs="Arial"/>
              </w:rPr>
              <w:t>Staff of the Washington Utilities and Transportation Commission and other intervenors filed</w:t>
            </w:r>
          </w:p>
          <w:p w14:paraId="38E8AE3C" w14:textId="77777777" w:rsidR="001A2D43" w:rsidRPr="001A2D43" w:rsidRDefault="001A2D43" w:rsidP="001A2D43">
            <w:pPr>
              <w:tabs>
                <w:tab w:val="left" w:pos="240"/>
                <w:tab w:val="center" w:pos="4839"/>
              </w:tabs>
              <w:rPr>
                <w:rFonts w:ascii="Arial" w:hAnsi="Arial" w:cs="Arial"/>
              </w:rPr>
            </w:pPr>
            <w:r w:rsidRPr="001A2D43">
              <w:rPr>
                <w:rFonts w:ascii="Arial" w:hAnsi="Arial" w:cs="Arial"/>
              </w:rPr>
              <w:t>testimony in Avista Corp.'s pending rate case on October 3, with the staff supporting a two-step</w:t>
            </w:r>
          </w:p>
          <w:p w14:paraId="517106BE" w14:textId="77777777" w:rsidR="001A2D43" w:rsidRPr="001A2D43" w:rsidRDefault="001A2D43" w:rsidP="001A2D43">
            <w:pPr>
              <w:tabs>
                <w:tab w:val="left" w:pos="240"/>
                <w:tab w:val="center" w:pos="4839"/>
              </w:tabs>
              <w:rPr>
                <w:rFonts w:ascii="Arial" w:hAnsi="Arial" w:cs="Arial"/>
              </w:rPr>
            </w:pPr>
            <w:r w:rsidRPr="001A2D43">
              <w:rPr>
                <w:rFonts w:ascii="Arial" w:hAnsi="Arial" w:cs="Arial"/>
              </w:rPr>
              <w:t>gas rate increases totaling $9.4 million. The Public Counsel section of the Washington Office of</w:t>
            </w:r>
          </w:p>
          <w:p w14:paraId="781C83C8" w14:textId="77777777" w:rsidR="001A2D43" w:rsidRDefault="001A2D43" w:rsidP="001A2D43">
            <w:pPr>
              <w:tabs>
                <w:tab w:val="left" w:pos="240"/>
                <w:tab w:val="center" w:pos="4839"/>
              </w:tabs>
              <w:rPr>
                <w:rFonts w:ascii="Arial" w:hAnsi="Arial" w:cs="Arial"/>
              </w:rPr>
            </w:pPr>
            <w:r w:rsidRPr="001A2D43">
              <w:rPr>
                <w:rFonts w:ascii="Arial" w:hAnsi="Arial" w:cs="Arial"/>
              </w:rPr>
              <w:t>the Attorney General recommended a one-step rate increases of $3.8 million.</w:t>
            </w:r>
          </w:p>
          <w:p w14:paraId="78F88AE9" w14:textId="77777777" w:rsidR="001A2D43" w:rsidRPr="001A2D43" w:rsidRDefault="001A2D43" w:rsidP="001A2D43">
            <w:pPr>
              <w:tabs>
                <w:tab w:val="left" w:pos="240"/>
                <w:tab w:val="center" w:pos="4839"/>
              </w:tabs>
              <w:rPr>
                <w:rFonts w:ascii="Arial" w:hAnsi="Arial" w:cs="Arial"/>
              </w:rPr>
            </w:pPr>
          </w:p>
          <w:p w14:paraId="71F60534" w14:textId="77777777" w:rsidR="001A2D43" w:rsidRPr="001A2D43" w:rsidRDefault="001A2D43" w:rsidP="001A2D43">
            <w:pPr>
              <w:tabs>
                <w:tab w:val="left" w:pos="240"/>
                <w:tab w:val="center" w:pos="4839"/>
              </w:tabs>
              <w:rPr>
                <w:rFonts w:ascii="Arial" w:hAnsi="Arial" w:cs="Arial"/>
              </w:rPr>
            </w:pPr>
            <w:r w:rsidRPr="001A2D43">
              <w:rPr>
                <w:rFonts w:ascii="Arial" w:hAnsi="Arial" w:cs="Arial"/>
              </w:rPr>
              <w:t>The rate increase, in Docket No. UG-190335 is made up of a $7.0 million, or 7.52%, base rate</w:t>
            </w:r>
          </w:p>
          <w:p w14:paraId="06327FC6" w14:textId="77777777" w:rsidR="001A2D43" w:rsidRPr="001A2D43" w:rsidRDefault="001A2D43" w:rsidP="001A2D43">
            <w:pPr>
              <w:tabs>
                <w:tab w:val="left" w:pos="240"/>
                <w:tab w:val="center" w:pos="4839"/>
              </w:tabs>
              <w:rPr>
                <w:rFonts w:ascii="Arial" w:hAnsi="Arial" w:cs="Arial"/>
              </w:rPr>
            </w:pPr>
            <w:r w:rsidRPr="001A2D43">
              <w:rPr>
                <w:rFonts w:ascii="Arial" w:hAnsi="Arial" w:cs="Arial"/>
              </w:rPr>
              <w:t>hike effective April 1, 2020, premised upon a 9.3% return on equity (48.5% of a regulatory</w:t>
            </w:r>
          </w:p>
          <w:p w14:paraId="5A5C8759" w14:textId="77777777" w:rsidR="001A2D43" w:rsidRPr="001A2D43" w:rsidRDefault="001A2D43" w:rsidP="001A2D43">
            <w:pPr>
              <w:tabs>
                <w:tab w:val="left" w:pos="240"/>
                <w:tab w:val="center" w:pos="4839"/>
              </w:tabs>
              <w:rPr>
                <w:rFonts w:ascii="Arial" w:hAnsi="Arial" w:cs="Arial"/>
              </w:rPr>
            </w:pPr>
            <w:r w:rsidRPr="001A2D43">
              <w:rPr>
                <w:rFonts w:ascii="Arial" w:hAnsi="Arial" w:cs="Arial"/>
              </w:rPr>
              <w:t>capital structure) and a 7.16% return on a year-end rate base valued at $386.8 million for a</w:t>
            </w:r>
          </w:p>
          <w:p w14:paraId="2AC158EB" w14:textId="77777777" w:rsidR="001A2D43" w:rsidRPr="001A2D43" w:rsidRDefault="001A2D43" w:rsidP="001A2D43">
            <w:pPr>
              <w:tabs>
                <w:tab w:val="left" w:pos="240"/>
                <w:tab w:val="center" w:pos="4839"/>
              </w:tabs>
              <w:rPr>
                <w:rFonts w:ascii="Arial" w:hAnsi="Arial" w:cs="Arial"/>
              </w:rPr>
            </w:pPr>
            <w:r w:rsidRPr="001A2D43">
              <w:rPr>
                <w:rFonts w:ascii="Arial" w:hAnsi="Arial" w:cs="Arial"/>
              </w:rPr>
              <w:t>calendar 2018 test year, with limited pro forma adjustments, and an incremental $2.3 million</w:t>
            </w:r>
          </w:p>
          <w:p w14:paraId="567D0550" w14:textId="77777777" w:rsidR="001A2D43" w:rsidRDefault="001A2D43" w:rsidP="001A2D43">
            <w:pPr>
              <w:tabs>
                <w:tab w:val="left" w:pos="240"/>
                <w:tab w:val="center" w:pos="4839"/>
              </w:tabs>
              <w:rPr>
                <w:rFonts w:ascii="Arial" w:hAnsi="Arial" w:cs="Arial"/>
              </w:rPr>
            </w:pPr>
            <w:r w:rsidRPr="001A2D43">
              <w:rPr>
                <w:rFonts w:ascii="Arial" w:hAnsi="Arial" w:cs="Arial"/>
              </w:rPr>
              <w:t>rate hike, effective April 1, 2021.</w:t>
            </w:r>
          </w:p>
          <w:p w14:paraId="1541B504" w14:textId="77777777" w:rsidR="001A2D43" w:rsidRPr="001A2D43" w:rsidRDefault="001A2D43" w:rsidP="001A2D43">
            <w:pPr>
              <w:tabs>
                <w:tab w:val="left" w:pos="240"/>
                <w:tab w:val="center" w:pos="4839"/>
              </w:tabs>
              <w:rPr>
                <w:rFonts w:ascii="Arial" w:hAnsi="Arial" w:cs="Arial"/>
              </w:rPr>
            </w:pPr>
          </w:p>
          <w:p w14:paraId="14CA23F6" w14:textId="77777777" w:rsidR="001A2D43" w:rsidRPr="001A2D43" w:rsidRDefault="001A2D43" w:rsidP="001A2D43">
            <w:pPr>
              <w:tabs>
                <w:tab w:val="left" w:pos="240"/>
                <w:tab w:val="center" w:pos="4839"/>
              </w:tabs>
              <w:rPr>
                <w:rFonts w:ascii="Arial" w:hAnsi="Arial" w:cs="Arial"/>
              </w:rPr>
            </w:pPr>
            <w:r w:rsidRPr="001A2D43">
              <w:rPr>
                <w:rFonts w:ascii="Arial" w:hAnsi="Arial" w:cs="Arial"/>
              </w:rPr>
              <w:t>While staff did not address decoupling, the AG noted that while they do not generally support</w:t>
            </w:r>
          </w:p>
          <w:p w14:paraId="29D24F1D" w14:textId="77777777" w:rsidR="001A2D43" w:rsidRPr="001A2D43" w:rsidRDefault="001A2D43" w:rsidP="001A2D43">
            <w:pPr>
              <w:tabs>
                <w:tab w:val="left" w:pos="240"/>
                <w:tab w:val="center" w:pos="4839"/>
              </w:tabs>
              <w:rPr>
                <w:rFonts w:ascii="Arial" w:hAnsi="Arial" w:cs="Arial"/>
              </w:rPr>
            </w:pPr>
            <w:r w:rsidRPr="001A2D43">
              <w:rPr>
                <w:rFonts w:ascii="Arial" w:hAnsi="Arial" w:cs="Arial"/>
              </w:rPr>
              <w:t xml:space="preserve">revenue decoupling mechanisms, they do not recommend terminating </w:t>
            </w:r>
            <w:proofErr w:type="spellStart"/>
            <w:r w:rsidRPr="001A2D43">
              <w:rPr>
                <w:rFonts w:ascii="Arial" w:hAnsi="Arial" w:cs="Arial"/>
              </w:rPr>
              <w:t>Avista's</w:t>
            </w:r>
            <w:proofErr w:type="spellEnd"/>
            <w:r w:rsidRPr="001A2D43">
              <w:rPr>
                <w:rFonts w:ascii="Arial" w:hAnsi="Arial" w:cs="Arial"/>
              </w:rPr>
              <w:t xml:space="preserve"> decoupling</w:t>
            </w:r>
          </w:p>
          <w:p w14:paraId="0431CE9A" w14:textId="77777777" w:rsidR="00E0488C" w:rsidRDefault="001A2D43" w:rsidP="001A2D43">
            <w:pPr>
              <w:tabs>
                <w:tab w:val="left" w:pos="240"/>
                <w:tab w:val="center" w:pos="4839"/>
              </w:tabs>
              <w:rPr>
                <w:rFonts w:ascii="Arial" w:hAnsi="Arial" w:cs="Arial"/>
              </w:rPr>
            </w:pPr>
            <w:r w:rsidRPr="001A2D43">
              <w:rPr>
                <w:rFonts w:ascii="Arial" w:hAnsi="Arial" w:cs="Arial"/>
              </w:rPr>
              <w:t>mechanism. Instead, the AG recommended that the WUTC clarify the intent of the decoupling</w:t>
            </w:r>
            <w:r>
              <w:rPr>
                <w:rFonts w:ascii="Arial" w:hAnsi="Arial" w:cs="Arial"/>
              </w:rPr>
              <w:t xml:space="preserve"> </w:t>
            </w:r>
            <w:r w:rsidRPr="001A2D43">
              <w:rPr>
                <w:rFonts w:ascii="Arial" w:hAnsi="Arial" w:cs="Arial"/>
              </w:rPr>
              <w:t>mechanism with regards to recovery of sales lost through energy efficiency.</w:t>
            </w:r>
          </w:p>
          <w:p w14:paraId="05CF8CDE" w14:textId="77777777" w:rsidR="00B61DFD" w:rsidRPr="00C34414" w:rsidRDefault="00B61DFD" w:rsidP="001A2D43">
            <w:pPr>
              <w:tabs>
                <w:tab w:val="left" w:pos="240"/>
                <w:tab w:val="center" w:pos="4839"/>
              </w:tabs>
              <w:rPr>
                <w:rFonts w:ascii="Arial" w:hAnsi="Arial" w:cs="Arial"/>
              </w:rPr>
            </w:pPr>
          </w:p>
        </w:tc>
      </w:tr>
      <w:tr w:rsidR="006531A4" w:rsidRPr="00B51D1F" w14:paraId="1D5A71E7" w14:textId="77777777" w:rsidTr="004E793E">
        <w:trPr>
          <w:trHeight w:val="279"/>
        </w:trPr>
        <w:tc>
          <w:tcPr>
            <w:tcW w:w="9895" w:type="dxa"/>
            <w:gridSpan w:val="2"/>
            <w:shd w:val="clear" w:color="auto" w:fill="1F4E79" w:themeFill="accent1" w:themeFillShade="80"/>
          </w:tcPr>
          <w:p w14:paraId="09DA78D6" w14:textId="77777777" w:rsidR="006531A4" w:rsidRPr="000602A6" w:rsidRDefault="00B61DFD" w:rsidP="006531A4">
            <w:pPr>
              <w:jc w:val="center"/>
              <w:rPr>
                <w:rFonts w:ascii="Arial" w:hAnsi="Arial" w:cs="Arial"/>
                <w:b/>
                <w:color w:val="FFFFFF" w:themeColor="background1"/>
              </w:rPr>
            </w:pPr>
            <w:r>
              <w:rPr>
                <w:rFonts w:ascii="Arial" w:hAnsi="Arial" w:cs="Arial"/>
                <w:b/>
                <w:color w:val="FFFFFF" w:themeColor="background1"/>
              </w:rPr>
              <w:t>October 15</w:t>
            </w:r>
            <w:r w:rsidR="00973AEB">
              <w:rPr>
                <w:rFonts w:ascii="Arial" w:hAnsi="Arial" w:cs="Arial"/>
                <w:b/>
                <w:color w:val="FFFFFF" w:themeColor="background1"/>
              </w:rPr>
              <w:t>, 2019</w:t>
            </w:r>
          </w:p>
        </w:tc>
      </w:tr>
      <w:tr w:rsidR="006531A4" w:rsidRPr="00B51D1F" w14:paraId="053345A9" w14:textId="77777777" w:rsidTr="002E5982">
        <w:trPr>
          <w:trHeight w:val="279"/>
        </w:trPr>
        <w:tc>
          <w:tcPr>
            <w:tcW w:w="2245" w:type="dxa"/>
            <w:shd w:val="clear" w:color="auto" w:fill="1F4E79" w:themeFill="accent1" w:themeFillShade="80"/>
          </w:tcPr>
          <w:p w14:paraId="31D05B53" w14:textId="77777777"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14:paraId="214C3FAB" w14:textId="77777777" w:rsidR="006531A4" w:rsidRPr="000602A6" w:rsidRDefault="00B61DFD" w:rsidP="006531A4">
            <w:pPr>
              <w:rPr>
                <w:rFonts w:ascii="Arial" w:hAnsi="Arial" w:cs="Arial"/>
              </w:rPr>
            </w:pPr>
            <w:r>
              <w:rPr>
                <w:rFonts w:ascii="Arial" w:hAnsi="Arial" w:cs="Arial"/>
              </w:rPr>
              <w:t>Washington Gas Light Co.</w:t>
            </w:r>
          </w:p>
        </w:tc>
      </w:tr>
      <w:tr w:rsidR="006531A4" w:rsidRPr="00B51D1F" w14:paraId="35DACD58" w14:textId="77777777" w:rsidTr="002E5982">
        <w:trPr>
          <w:trHeight w:val="279"/>
        </w:trPr>
        <w:tc>
          <w:tcPr>
            <w:tcW w:w="2245" w:type="dxa"/>
            <w:shd w:val="clear" w:color="auto" w:fill="1F4E79" w:themeFill="accent1" w:themeFillShade="80"/>
          </w:tcPr>
          <w:p w14:paraId="1B042343" w14:textId="77777777"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14:paraId="08C98408" w14:textId="77777777" w:rsidR="006531A4" w:rsidRPr="00B51D1F" w:rsidRDefault="00B61DFD" w:rsidP="006531A4">
            <w:pPr>
              <w:rPr>
                <w:rFonts w:ascii="Arial" w:hAnsi="Arial" w:cs="Arial"/>
              </w:rPr>
            </w:pPr>
            <w:r>
              <w:rPr>
                <w:rFonts w:ascii="Arial" w:hAnsi="Arial" w:cs="Arial"/>
              </w:rPr>
              <w:t>Maryland</w:t>
            </w:r>
          </w:p>
        </w:tc>
      </w:tr>
      <w:tr w:rsidR="006531A4" w:rsidRPr="00B51D1F" w14:paraId="36F78C3C" w14:textId="77777777" w:rsidTr="002E5982">
        <w:trPr>
          <w:trHeight w:val="263"/>
        </w:trPr>
        <w:tc>
          <w:tcPr>
            <w:tcW w:w="2245" w:type="dxa"/>
            <w:shd w:val="clear" w:color="auto" w:fill="1F4E79" w:themeFill="accent1" w:themeFillShade="80"/>
          </w:tcPr>
          <w:p w14:paraId="260489C7" w14:textId="77777777"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14:paraId="172664D9" w14:textId="77777777" w:rsidR="006531A4" w:rsidRPr="00B51D1F" w:rsidRDefault="00B61DFD" w:rsidP="006531A4">
            <w:pPr>
              <w:rPr>
                <w:rFonts w:ascii="Arial" w:hAnsi="Arial" w:cs="Arial"/>
                <w:color w:val="0000FF"/>
                <w:u w:val="single"/>
              </w:rPr>
            </w:pPr>
            <w:r>
              <w:rPr>
                <w:rFonts w:ascii="Arial" w:hAnsi="Arial" w:cs="Arial"/>
                <w:color w:val="0000FF"/>
                <w:u w:val="single"/>
              </w:rPr>
              <w:t>Case No. 9605</w:t>
            </w:r>
          </w:p>
        </w:tc>
      </w:tr>
      <w:tr w:rsidR="006531A4" w:rsidRPr="00B51D1F" w14:paraId="247160F1" w14:textId="77777777" w:rsidTr="002E5982">
        <w:trPr>
          <w:trHeight w:val="279"/>
        </w:trPr>
        <w:tc>
          <w:tcPr>
            <w:tcW w:w="2245" w:type="dxa"/>
            <w:shd w:val="clear" w:color="auto" w:fill="1F4E79" w:themeFill="accent1" w:themeFillShade="80"/>
          </w:tcPr>
          <w:p w14:paraId="51CBA480" w14:textId="77777777"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14:paraId="0C72A004" w14:textId="77777777" w:rsidR="006531A4" w:rsidRPr="00416BC2" w:rsidRDefault="00B61DFD" w:rsidP="006531A4">
            <w:pPr>
              <w:rPr>
                <w:rFonts w:ascii="Arial" w:hAnsi="Arial" w:cs="Arial"/>
              </w:rPr>
            </w:pPr>
            <w:r>
              <w:rPr>
                <w:rFonts w:ascii="Arial" w:hAnsi="Arial" w:cs="Arial"/>
              </w:rPr>
              <w:t>$27,000,000</w:t>
            </w:r>
          </w:p>
        </w:tc>
      </w:tr>
      <w:tr w:rsidR="006531A4" w:rsidRPr="00B51D1F" w14:paraId="09F62BCF" w14:textId="77777777" w:rsidTr="002E5982">
        <w:trPr>
          <w:trHeight w:val="263"/>
        </w:trPr>
        <w:tc>
          <w:tcPr>
            <w:tcW w:w="2245" w:type="dxa"/>
            <w:shd w:val="clear" w:color="auto" w:fill="1F4E79" w:themeFill="accent1" w:themeFillShade="80"/>
          </w:tcPr>
          <w:p w14:paraId="2CA0CCD4" w14:textId="77777777"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14:paraId="2FDE9B3C" w14:textId="77777777" w:rsidR="006531A4" w:rsidRPr="00B51D1F" w:rsidRDefault="00B61DFD" w:rsidP="006531A4">
            <w:pPr>
              <w:rPr>
                <w:rFonts w:ascii="Arial" w:hAnsi="Arial" w:cs="Arial"/>
              </w:rPr>
            </w:pPr>
            <w:r>
              <w:rPr>
                <w:rFonts w:ascii="Arial" w:hAnsi="Arial" w:cs="Arial"/>
              </w:rPr>
              <w:t>9.70%</w:t>
            </w:r>
          </w:p>
        </w:tc>
      </w:tr>
      <w:tr w:rsidR="00125AE9" w:rsidRPr="00B51D1F" w14:paraId="3615F2C7" w14:textId="77777777" w:rsidTr="002E5982">
        <w:trPr>
          <w:trHeight w:val="263"/>
        </w:trPr>
        <w:tc>
          <w:tcPr>
            <w:tcW w:w="2245" w:type="dxa"/>
            <w:shd w:val="clear" w:color="auto" w:fill="1F4E79" w:themeFill="accent1" w:themeFillShade="80"/>
          </w:tcPr>
          <w:p w14:paraId="43FB63F7" w14:textId="77777777" w:rsidR="00125AE9" w:rsidRPr="00B51D1F" w:rsidRDefault="00125AE9" w:rsidP="00125AE9">
            <w:pPr>
              <w:rPr>
                <w:rFonts w:ascii="Arial" w:hAnsi="Arial" w:cs="Arial"/>
                <w:b/>
                <w:color w:val="FFFFFF" w:themeColor="background1"/>
              </w:rPr>
            </w:pPr>
            <w:r>
              <w:rPr>
                <w:rFonts w:ascii="Arial" w:hAnsi="Arial" w:cs="Arial"/>
                <w:b/>
                <w:color w:val="FFFFFF" w:themeColor="background1"/>
              </w:rPr>
              <w:lastRenderedPageBreak/>
              <w:t>Intervenors</w:t>
            </w:r>
          </w:p>
        </w:tc>
        <w:tc>
          <w:tcPr>
            <w:tcW w:w="7650" w:type="dxa"/>
          </w:tcPr>
          <w:p w14:paraId="1E36C450" w14:textId="77777777" w:rsidR="00125AE9" w:rsidRPr="00B51D1F" w:rsidRDefault="00B61DFD" w:rsidP="000D68DD">
            <w:pPr>
              <w:rPr>
                <w:rFonts w:ascii="Arial" w:hAnsi="Arial" w:cs="Arial"/>
              </w:rPr>
            </w:pPr>
            <w:r w:rsidRPr="00B61DFD">
              <w:rPr>
                <w:rFonts w:ascii="Arial" w:hAnsi="Arial" w:cs="Arial"/>
              </w:rPr>
              <w:t>Apartment and Office Building Association of Metropolitan Washington</w:t>
            </w:r>
            <w:r>
              <w:rPr>
                <w:rFonts w:ascii="Arial" w:hAnsi="Arial" w:cs="Arial"/>
              </w:rPr>
              <w:t xml:space="preserve">, </w:t>
            </w:r>
            <w:r w:rsidRPr="00B61DFD">
              <w:rPr>
                <w:rFonts w:ascii="Arial" w:hAnsi="Arial" w:cs="Arial"/>
              </w:rPr>
              <w:t>United States General Services Administration</w:t>
            </w:r>
            <w:r>
              <w:rPr>
                <w:rFonts w:ascii="Arial" w:hAnsi="Arial" w:cs="Arial"/>
              </w:rPr>
              <w:t xml:space="preserve">, </w:t>
            </w:r>
            <w:r w:rsidRPr="00B61DFD">
              <w:rPr>
                <w:rFonts w:ascii="Arial" w:hAnsi="Arial" w:cs="Arial"/>
              </w:rPr>
              <w:t>Montgomery County, Maryland</w:t>
            </w:r>
            <w:r>
              <w:rPr>
                <w:rFonts w:ascii="Arial" w:hAnsi="Arial" w:cs="Arial"/>
              </w:rPr>
              <w:t xml:space="preserve">, </w:t>
            </w:r>
            <w:r w:rsidRPr="00B61DFD">
              <w:rPr>
                <w:rFonts w:ascii="Arial" w:hAnsi="Arial" w:cs="Arial"/>
              </w:rPr>
              <w:t>Prince George's County, Maryland</w:t>
            </w:r>
          </w:p>
        </w:tc>
      </w:tr>
      <w:tr w:rsidR="00125AE9" w:rsidRPr="00B51D1F" w14:paraId="03F77675" w14:textId="77777777" w:rsidTr="004E793E">
        <w:trPr>
          <w:trHeight w:val="263"/>
        </w:trPr>
        <w:tc>
          <w:tcPr>
            <w:tcW w:w="9895" w:type="dxa"/>
            <w:gridSpan w:val="2"/>
            <w:shd w:val="clear" w:color="auto" w:fill="1F4E79" w:themeFill="accent1" w:themeFillShade="80"/>
          </w:tcPr>
          <w:p w14:paraId="030F7B3D" w14:textId="77777777" w:rsidR="00125AE9" w:rsidRPr="00B51D1F" w:rsidRDefault="00125AE9" w:rsidP="00125AE9">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125AE9" w:rsidRPr="00B51D1F" w14:paraId="1896CA01" w14:textId="77777777" w:rsidTr="004E793E">
        <w:trPr>
          <w:trHeight w:val="263"/>
        </w:trPr>
        <w:tc>
          <w:tcPr>
            <w:tcW w:w="9895" w:type="dxa"/>
            <w:gridSpan w:val="2"/>
            <w:shd w:val="clear" w:color="auto" w:fill="FFFFFF" w:themeFill="background1"/>
          </w:tcPr>
          <w:p w14:paraId="478808D3" w14:textId="77777777" w:rsidR="00B61DFD" w:rsidRDefault="00B61DFD" w:rsidP="00B61DFD">
            <w:pPr>
              <w:contextualSpacing/>
              <w:rPr>
                <w:rFonts w:ascii="Arial" w:hAnsi="Arial" w:cs="Arial"/>
              </w:rPr>
            </w:pPr>
            <w:r w:rsidRPr="00C12ACC">
              <w:rPr>
                <w:rFonts w:ascii="Arial" w:hAnsi="Arial" w:cs="Arial"/>
              </w:rPr>
              <w:t>A proposed order issued by a Maryland public utility law judge in a rate case for Washington Gas Light Co. became a final order of the Maryland Public Service Commission on Oc</w:t>
            </w:r>
            <w:r>
              <w:rPr>
                <w:rFonts w:ascii="Arial" w:hAnsi="Arial" w:cs="Arial"/>
              </w:rPr>
              <w:t>tober</w:t>
            </w:r>
            <w:r w:rsidRPr="00C12ACC">
              <w:rPr>
                <w:rFonts w:ascii="Arial" w:hAnsi="Arial" w:cs="Arial"/>
              </w:rPr>
              <w:t xml:space="preserve"> 15, as the deadline for intervening parties to file appeals of the judge's recommendation passed.</w:t>
            </w:r>
          </w:p>
          <w:p w14:paraId="48C75877" w14:textId="77777777" w:rsidR="00B61DFD" w:rsidRDefault="00B61DFD" w:rsidP="00B61DFD">
            <w:pPr>
              <w:contextualSpacing/>
              <w:rPr>
                <w:rFonts w:ascii="Arial" w:hAnsi="Arial" w:cs="Arial"/>
              </w:rPr>
            </w:pPr>
          </w:p>
          <w:p w14:paraId="2299A546" w14:textId="77777777" w:rsidR="00B61DFD" w:rsidRDefault="00B61DFD" w:rsidP="00B61DFD">
            <w:pPr>
              <w:contextualSpacing/>
              <w:rPr>
                <w:rFonts w:ascii="Arial" w:hAnsi="Arial" w:cs="Arial"/>
              </w:rPr>
            </w:pPr>
            <w:r w:rsidRPr="00F53744">
              <w:rPr>
                <w:rFonts w:ascii="Arial" w:hAnsi="Arial" w:cs="Arial"/>
              </w:rPr>
              <w:t>The now-approved settlement authorizes the company, or WGL, a $27 million, or 5%, gas distribution rate increase. The new rates are to become effective immediately.</w:t>
            </w:r>
            <w:r w:rsidRPr="004A26AC">
              <w:rPr>
                <w:rFonts w:ascii="Helvetica" w:hAnsi="Helvetica" w:cs="Helvetica"/>
                <w:color w:val="000000"/>
                <w:sz w:val="21"/>
                <w:szCs w:val="21"/>
                <w:shd w:val="clear" w:color="auto" w:fill="FFFFFF"/>
              </w:rPr>
              <w:t xml:space="preserve"> </w:t>
            </w:r>
            <w:r w:rsidRPr="004A26AC">
              <w:rPr>
                <w:rFonts w:ascii="Arial" w:hAnsi="Arial" w:cs="Arial"/>
              </w:rPr>
              <w:t>The agreement states that WGL "is authorized" a 9.7% return on equity (53.5% of a hypothetical capital structure) and a 7.42% overall return. However, the agreement specifically states that ROE and equity ratio "sets no precedent and has no broader applicability."</w:t>
            </w:r>
          </w:p>
          <w:p w14:paraId="7B663250" w14:textId="77777777" w:rsidR="00B61DFD" w:rsidRDefault="00B61DFD" w:rsidP="00B61DFD">
            <w:pPr>
              <w:contextualSpacing/>
              <w:rPr>
                <w:rFonts w:ascii="Arial" w:hAnsi="Arial" w:cs="Arial"/>
              </w:rPr>
            </w:pPr>
          </w:p>
          <w:p w14:paraId="1AA516A2" w14:textId="77777777" w:rsidR="00B61DFD" w:rsidRDefault="00B61DFD" w:rsidP="00B61DFD">
            <w:pPr>
              <w:contextualSpacing/>
              <w:rPr>
                <w:rFonts w:ascii="Arial" w:hAnsi="Arial" w:cs="Arial"/>
              </w:rPr>
            </w:pPr>
            <w:r w:rsidRPr="001B119B">
              <w:rPr>
                <w:rFonts w:ascii="Arial" w:hAnsi="Arial" w:cs="Arial"/>
              </w:rPr>
              <w:t>The agreement is silent with respect to the rate base underlying the stipulated rate increase but specifies that the revenue requirement reflects the regulatory assets and related amortization schedules identified by WGL for environmental costs, billing system expenses and certain audit fees. In addition, the agreement calls for WGL to capitalize cloud computing project expenses.</w:t>
            </w:r>
          </w:p>
          <w:p w14:paraId="4A620A29" w14:textId="77777777" w:rsidR="00B61DFD" w:rsidRDefault="00B61DFD" w:rsidP="00B61DFD">
            <w:pPr>
              <w:contextualSpacing/>
              <w:rPr>
                <w:rFonts w:ascii="Arial" w:hAnsi="Arial" w:cs="Arial"/>
              </w:rPr>
            </w:pPr>
          </w:p>
          <w:p w14:paraId="2E2CA169" w14:textId="77777777" w:rsidR="00B61DFD" w:rsidRPr="00B61DFD" w:rsidRDefault="00B61DFD" w:rsidP="00B61DFD">
            <w:pPr>
              <w:contextualSpacing/>
              <w:rPr>
                <w:rFonts w:ascii="Arial" w:hAnsi="Arial" w:cs="Arial"/>
              </w:rPr>
            </w:pPr>
            <w:r w:rsidRPr="00B61DFD">
              <w:rPr>
                <w:rFonts w:ascii="Arial" w:hAnsi="Arial" w:cs="Arial"/>
              </w:rPr>
              <w:t>The settlement was signed by the company, the PSC staff, the Office of People's Counsel, or OPC, and the Apartment and Office Building Association of Metropolitan Washington. Montgomery County, Prince George's County and the U.S. General Services Administration, or GSA, intervened in the case but did not file direct testimony.</w:t>
            </w:r>
          </w:p>
          <w:p w14:paraId="0138FCCF" w14:textId="77777777" w:rsidR="00B61DFD" w:rsidRPr="00B61DFD" w:rsidRDefault="00B61DFD" w:rsidP="00B61DFD">
            <w:pPr>
              <w:contextualSpacing/>
              <w:rPr>
                <w:rFonts w:ascii="Arial" w:hAnsi="Arial" w:cs="Arial"/>
              </w:rPr>
            </w:pPr>
          </w:p>
          <w:p w14:paraId="02474581" w14:textId="77777777" w:rsidR="00B61DFD" w:rsidRDefault="00B61DFD" w:rsidP="00B61DFD">
            <w:pPr>
              <w:contextualSpacing/>
              <w:rPr>
                <w:rFonts w:ascii="Arial" w:hAnsi="Arial" w:cs="Arial"/>
              </w:rPr>
            </w:pPr>
            <w:r w:rsidRPr="00B61DFD">
              <w:rPr>
                <w:rFonts w:ascii="Arial" w:hAnsi="Arial" w:cs="Arial"/>
              </w:rPr>
              <w:t>While the two counties were not signatories to the settlement, they each said they had no objections to its terms. The GSA raised an objection with respect to the percentage increase to be allocated to the interruptible class, but the judge found the rate design included in the settlement to be appropriate.</w:t>
            </w:r>
          </w:p>
          <w:p w14:paraId="0342111A" w14:textId="77777777" w:rsidR="006D5AC0" w:rsidRPr="00B51D1F" w:rsidRDefault="006D5AC0" w:rsidP="00B61DFD">
            <w:pPr>
              <w:tabs>
                <w:tab w:val="left" w:pos="240"/>
                <w:tab w:val="center" w:pos="4839"/>
              </w:tabs>
              <w:rPr>
                <w:rFonts w:ascii="Arial" w:hAnsi="Arial" w:cs="Arial"/>
              </w:rPr>
            </w:pPr>
          </w:p>
        </w:tc>
      </w:tr>
      <w:tr w:rsidR="00125AE9" w:rsidRPr="00B51D1F" w14:paraId="31F49DE4" w14:textId="77777777" w:rsidTr="00584CF9">
        <w:trPr>
          <w:trHeight w:val="279"/>
        </w:trPr>
        <w:tc>
          <w:tcPr>
            <w:tcW w:w="9895" w:type="dxa"/>
            <w:gridSpan w:val="2"/>
            <w:shd w:val="clear" w:color="auto" w:fill="1F4E79" w:themeFill="accent1" w:themeFillShade="80"/>
          </w:tcPr>
          <w:p w14:paraId="6BD0525D" w14:textId="77777777" w:rsidR="00125AE9" w:rsidRPr="000602A6" w:rsidRDefault="00B61DFD" w:rsidP="00125AE9">
            <w:pPr>
              <w:jc w:val="center"/>
              <w:rPr>
                <w:rFonts w:ascii="Arial" w:hAnsi="Arial" w:cs="Arial"/>
                <w:b/>
                <w:color w:val="FFFFFF" w:themeColor="background1"/>
              </w:rPr>
            </w:pPr>
            <w:r>
              <w:rPr>
                <w:rFonts w:ascii="Arial" w:hAnsi="Arial" w:cs="Arial"/>
                <w:b/>
                <w:color w:val="FFFFFF" w:themeColor="background1"/>
              </w:rPr>
              <w:t xml:space="preserve">October </w:t>
            </w:r>
            <w:r w:rsidR="00997B94">
              <w:rPr>
                <w:rFonts w:ascii="Arial" w:hAnsi="Arial" w:cs="Arial"/>
                <w:b/>
                <w:color w:val="FFFFFF" w:themeColor="background1"/>
              </w:rPr>
              <w:t>21</w:t>
            </w:r>
            <w:r w:rsidR="00DF50CF">
              <w:rPr>
                <w:rFonts w:ascii="Arial" w:hAnsi="Arial" w:cs="Arial"/>
                <w:b/>
                <w:color w:val="FFFFFF" w:themeColor="background1"/>
              </w:rPr>
              <w:t>, 2019</w:t>
            </w:r>
          </w:p>
        </w:tc>
      </w:tr>
      <w:tr w:rsidR="00125AE9" w:rsidRPr="00B51D1F" w14:paraId="54000981" w14:textId="77777777" w:rsidTr="002E5982">
        <w:trPr>
          <w:trHeight w:val="279"/>
        </w:trPr>
        <w:tc>
          <w:tcPr>
            <w:tcW w:w="2245" w:type="dxa"/>
            <w:shd w:val="clear" w:color="auto" w:fill="1F4E79" w:themeFill="accent1" w:themeFillShade="80"/>
          </w:tcPr>
          <w:p w14:paraId="105A0115" w14:textId="77777777"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14:paraId="67E84084" w14:textId="77777777" w:rsidR="00125AE9" w:rsidRPr="000602A6" w:rsidRDefault="00B61DFD" w:rsidP="00125AE9">
            <w:pPr>
              <w:rPr>
                <w:rFonts w:ascii="Arial" w:hAnsi="Arial" w:cs="Arial"/>
              </w:rPr>
            </w:pPr>
            <w:r>
              <w:rPr>
                <w:rFonts w:ascii="Arial" w:hAnsi="Arial" w:cs="Arial"/>
              </w:rPr>
              <w:t>Nort</w:t>
            </w:r>
            <w:r w:rsidR="00997B94">
              <w:rPr>
                <w:rFonts w:ascii="Arial" w:hAnsi="Arial" w:cs="Arial"/>
              </w:rPr>
              <w:t>hwest Natural Gas Co.</w:t>
            </w:r>
          </w:p>
        </w:tc>
      </w:tr>
      <w:tr w:rsidR="00125AE9" w:rsidRPr="00B51D1F" w14:paraId="54E24808" w14:textId="77777777" w:rsidTr="002E5982">
        <w:trPr>
          <w:trHeight w:val="279"/>
        </w:trPr>
        <w:tc>
          <w:tcPr>
            <w:tcW w:w="2245" w:type="dxa"/>
            <w:shd w:val="clear" w:color="auto" w:fill="1F4E79" w:themeFill="accent1" w:themeFillShade="80"/>
          </w:tcPr>
          <w:p w14:paraId="207975E1" w14:textId="77777777"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14:paraId="6EABEE4F" w14:textId="77777777" w:rsidR="00125AE9" w:rsidRPr="000602A6" w:rsidRDefault="00997B94" w:rsidP="00125AE9">
            <w:pPr>
              <w:rPr>
                <w:rFonts w:ascii="Arial" w:hAnsi="Arial" w:cs="Arial"/>
              </w:rPr>
            </w:pPr>
            <w:r>
              <w:rPr>
                <w:rFonts w:ascii="Arial" w:hAnsi="Arial" w:cs="Arial"/>
              </w:rPr>
              <w:t>Washington</w:t>
            </w:r>
          </w:p>
        </w:tc>
      </w:tr>
      <w:tr w:rsidR="00125AE9" w:rsidRPr="00B51D1F" w14:paraId="073EAAB8" w14:textId="77777777" w:rsidTr="002E5982">
        <w:trPr>
          <w:trHeight w:val="263"/>
        </w:trPr>
        <w:tc>
          <w:tcPr>
            <w:tcW w:w="2245" w:type="dxa"/>
            <w:shd w:val="clear" w:color="auto" w:fill="1F4E79" w:themeFill="accent1" w:themeFillShade="80"/>
          </w:tcPr>
          <w:p w14:paraId="07F23426" w14:textId="77777777"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14:paraId="71C75617" w14:textId="77777777" w:rsidR="00125AE9" w:rsidRPr="008A2167" w:rsidRDefault="00F103A3" w:rsidP="00125AE9">
            <w:pPr>
              <w:rPr>
                <w:rFonts w:ascii="Arial" w:hAnsi="Arial" w:cs="Arial"/>
              </w:rPr>
            </w:pPr>
            <w:hyperlink r:id="rId12" w:history="1">
              <w:r w:rsidR="00997B94" w:rsidRPr="00997B94">
                <w:rPr>
                  <w:rStyle w:val="Hyperlink"/>
                  <w:rFonts w:ascii="Arial" w:hAnsi="Arial" w:cs="Arial"/>
                </w:rPr>
                <w:t>Docket No. UG-181053</w:t>
              </w:r>
            </w:hyperlink>
          </w:p>
        </w:tc>
      </w:tr>
      <w:tr w:rsidR="00125AE9" w:rsidRPr="00B51D1F" w14:paraId="1B396078" w14:textId="77777777" w:rsidTr="002E5982">
        <w:trPr>
          <w:trHeight w:val="279"/>
        </w:trPr>
        <w:tc>
          <w:tcPr>
            <w:tcW w:w="2245" w:type="dxa"/>
            <w:shd w:val="clear" w:color="auto" w:fill="1F4E79" w:themeFill="accent1" w:themeFillShade="80"/>
          </w:tcPr>
          <w:p w14:paraId="0A27F9C9" w14:textId="77777777"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14:paraId="3AA65C8D" w14:textId="77777777" w:rsidR="00125AE9" w:rsidRPr="00861F4B" w:rsidRDefault="00997B94" w:rsidP="00125AE9">
            <w:pPr>
              <w:rPr>
                <w:rFonts w:ascii="Arial" w:hAnsi="Arial" w:cs="Arial"/>
              </w:rPr>
            </w:pPr>
            <w:r>
              <w:rPr>
                <w:rFonts w:ascii="Arial" w:hAnsi="Arial" w:cs="Arial"/>
              </w:rPr>
              <w:t>$5,100,000</w:t>
            </w:r>
          </w:p>
        </w:tc>
      </w:tr>
      <w:tr w:rsidR="00125AE9" w:rsidRPr="00B51D1F" w14:paraId="46C52D12" w14:textId="77777777" w:rsidTr="002E5982">
        <w:trPr>
          <w:trHeight w:val="263"/>
        </w:trPr>
        <w:tc>
          <w:tcPr>
            <w:tcW w:w="2245" w:type="dxa"/>
            <w:shd w:val="clear" w:color="auto" w:fill="1F4E79" w:themeFill="accent1" w:themeFillShade="80"/>
          </w:tcPr>
          <w:p w14:paraId="0336ADDE" w14:textId="77777777"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14:paraId="63B8E20E" w14:textId="77777777" w:rsidR="00125AE9" w:rsidRPr="00861F4B" w:rsidRDefault="00997B94" w:rsidP="00125AE9">
            <w:pPr>
              <w:rPr>
                <w:rFonts w:ascii="Arial" w:hAnsi="Arial" w:cs="Arial"/>
              </w:rPr>
            </w:pPr>
            <w:r>
              <w:rPr>
                <w:rFonts w:ascii="Arial" w:hAnsi="Arial" w:cs="Arial"/>
              </w:rPr>
              <w:t>9.40%</w:t>
            </w:r>
          </w:p>
        </w:tc>
      </w:tr>
      <w:tr w:rsidR="00125AE9" w:rsidRPr="00B51D1F" w14:paraId="32CA07A7" w14:textId="77777777" w:rsidTr="002E5982">
        <w:trPr>
          <w:trHeight w:val="279"/>
        </w:trPr>
        <w:tc>
          <w:tcPr>
            <w:tcW w:w="2245" w:type="dxa"/>
            <w:shd w:val="clear" w:color="auto" w:fill="1F4E79" w:themeFill="accent1" w:themeFillShade="80"/>
          </w:tcPr>
          <w:p w14:paraId="155EF14B" w14:textId="77777777"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Intervenors</w:t>
            </w:r>
          </w:p>
        </w:tc>
        <w:tc>
          <w:tcPr>
            <w:tcW w:w="7650" w:type="dxa"/>
          </w:tcPr>
          <w:p w14:paraId="765B9758" w14:textId="77777777" w:rsidR="0010764C" w:rsidRPr="00861F4B" w:rsidRDefault="00997B94" w:rsidP="00125AE9">
            <w:pPr>
              <w:rPr>
                <w:rFonts w:ascii="Arial" w:hAnsi="Arial" w:cs="Arial"/>
              </w:rPr>
            </w:pPr>
            <w:r>
              <w:rPr>
                <w:rFonts w:ascii="Arial" w:hAnsi="Arial" w:cs="Arial"/>
              </w:rPr>
              <w:t xml:space="preserve">The Energy Project and </w:t>
            </w:r>
            <w:r w:rsidRPr="00997B94">
              <w:rPr>
                <w:rFonts w:ascii="Arial" w:hAnsi="Arial" w:cs="Arial"/>
              </w:rPr>
              <w:t>Alliance of Western Energy Consumers</w:t>
            </w:r>
            <w:r>
              <w:rPr>
                <w:rFonts w:ascii="Arial" w:hAnsi="Arial" w:cs="Arial"/>
              </w:rPr>
              <w:t xml:space="preserve">, </w:t>
            </w:r>
          </w:p>
        </w:tc>
      </w:tr>
      <w:tr w:rsidR="00125AE9" w:rsidRPr="00B51D1F" w14:paraId="539D5D8F" w14:textId="77777777" w:rsidTr="00584CF9">
        <w:trPr>
          <w:trHeight w:val="263"/>
        </w:trPr>
        <w:tc>
          <w:tcPr>
            <w:tcW w:w="9895" w:type="dxa"/>
            <w:gridSpan w:val="2"/>
            <w:shd w:val="clear" w:color="auto" w:fill="1F4E79" w:themeFill="accent1" w:themeFillShade="80"/>
          </w:tcPr>
          <w:p w14:paraId="0B944EBD" w14:textId="77777777" w:rsidR="00125AE9" w:rsidRPr="00B51D1F" w:rsidRDefault="00125AE9" w:rsidP="00125AE9">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125AE9" w:rsidRPr="00B51D1F" w14:paraId="74BA46CC" w14:textId="77777777" w:rsidTr="000E667C">
        <w:trPr>
          <w:trHeight w:val="263"/>
        </w:trPr>
        <w:tc>
          <w:tcPr>
            <w:tcW w:w="9895" w:type="dxa"/>
            <w:gridSpan w:val="2"/>
            <w:shd w:val="clear" w:color="auto" w:fill="auto"/>
          </w:tcPr>
          <w:p w14:paraId="571B19EE" w14:textId="77777777" w:rsidR="00B34510" w:rsidRDefault="00B34510" w:rsidP="00B34510">
            <w:pPr>
              <w:contextualSpacing/>
              <w:rPr>
                <w:rFonts w:ascii="Arial" w:hAnsi="Arial" w:cs="Arial"/>
              </w:rPr>
            </w:pPr>
            <w:r w:rsidRPr="00E454D6">
              <w:rPr>
                <w:rFonts w:ascii="Arial" w:hAnsi="Arial" w:cs="Arial"/>
              </w:rPr>
              <w:t>The Washington Utilities and Transportation Commission authorized Northwest Natural Gas Co. a $5.1 million gas base rate increase in an order issued on Oct. 21, following the adoption of a partial settlement that addressed most of the issues in Docket No. UG-181053. New rates are to become effective Nov. 1.</w:t>
            </w:r>
          </w:p>
          <w:p w14:paraId="45BE9747" w14:textId="77777777" w:rsidR="00B34510" w:rsidRPr="00E454D6" w:rsidRDefault="00B34510" w:rsidP="00B34510">
            <w:pPr>
              <w:contextualSpacing/>
              <w:rPr>
                <w:rFonts w:ascii="Arial" w:hAnsi="Arial" w:cs="Arial"/>
              </w:rPr>
            </w:pPr>
          </w:p>
          <w:p w14:paraId="3BBE5423" w14:textId="77777777" w:rsidR="00B34510" w:rsidRDefault="00B34510" w:rsidP="00B34510">
            <w:pPr>
              <w:contextualSpacing/>
              <w:rPr>
                <w:rFonts w:ascii="Arial" w:hAnsi="Arial" w:cs="Arial"/>
              </w:rPr>
            </w:pPr>
            <w:r w:rsidRPr="00E454D6">
              <w:rPr>
                <w:rFonts w:ascii="Arial" w:hAnsi="Arial" w:cs="Arial"/>
              </w:rPr>
              <w:t>The rate increase is premised upon a 9.40% return on equity (49% of a hypothetical capital structure) and a 7.16% return on an average rate base valued at $173.7 million for an average test year ending Sept. 30, 2019.</w:t>
            </w:r>
          </w:p>
          <w:p w14:paraId="0FAE9849" w14:textId="77777777" w:rsidR="00B34510" w:rsidRDefault="00B34510" w:rsidP="00B34510">
            <w:pPr>
              <w:contextualSpacing/>
              <w:rPr>
                <w:rFonts w:ascii="Arial" w:hAnsi="Arial" w:cs="Arial"/>
              </w:rPr>
            </w:pPr>
          </w:p>
          <w:p w14:paraId="3814ECA1" w14:textId="77777777" w:rsidR="00B34510" w:rsidRDefault="00B34510" w:rsidP="00B34510">
            <w:pPr>
              <w:contextualSpacing/>
              <w:rPr>
                <w:rFonts w:ascii="Arial" w:hAnsi="Arial" w:cs="Arial"/>
              </w:rPr>
            </w:pPr>
            <w:r w:rsidRPr="00025F95">
              <w:rPr>
                <w:rFonts w:ascii="Arial" w:hAnsi="Arial" w:cs="Arial"/>
              </w:rPr>
              <w:t>The WUTC's, order adopting the terms of the settlement includes the establishment of an environmental cost recovery mechanism, which will allow recovery of certain remediation costs associated with sites formerly operated by Northwest Natural's predecessor companies. The mechanism is subject to a "soft cap" such that its rates may not result in an increase to the company's Washington normalized revenues by more than 1% per year, after insurance proceeds have been fully used to offset deferred expenses.</w:t>
            </w:r>
          </w:p>
          <w:p w14:paraId="15C6BA9A" w14:textId="77777777" w:rsidR="00B34510" w:rsidRDefault="00B34510" w:rsidP="00B34510">
            <w:pPr>
              <w:contextualSpacing/>
              <w:rPr>
                <w:rFonts w:ascii="Arial" w:hAnsi="Arial" w:cs="Arial"/>
              </w:rPr>
            </w:pPr>
          </w:p>
          <w:p w14:paraId="03F15ED2" w14:textId="77777777" w:rsidR="00B34510" w:rsidRPr="00E454D6" w:rsidRDefault="00B34510" w:rsidP="00B34510">
            <w:pPr>
              <w:contextualSpacing/>
              <w:rPr>
                <w:rFonts w:ascii="Arial" w:hAnsi="Arial" w:cs="Arial"/>
              </w:rPr>
            </w:pPr>
            <w:r w:rsidRPr="0062772A">
              <w:rPr>
                <w:rFonts w:ascii="Arial" w:hAnsi="Arial" w:cs="Arial"/>
              </w:rPr>
              <w:t xml:space="preserve">The WUTC rejected a separate partial settlement regarding a proposed decoupling mechanism, stating that the parties have not shown that "mechanism is tailored to address reductions in short-term earnings that are a direct result of the Company's energy conservation programs or other usage variation, rather than to recover costs that would be more appropriately recovered through other ratemaking mechanisms." The commission invited Northwest Natural to make a proposal that "properly separates energy usage volatility from revenue imbalance resulting from new customers" </w:t>
            </w:r>
            <w:proofErr w:type="gramStart"/>
            <w:r w:rsidRPr="0062772A">
              <w:rPr>
                <w:rFonts w:ascii="Arial" w:hAnsi="Arial" w:cs="Arial"/>
              </w:rPr>
              <w:t>at a later date</w:t>
            </w:r>
            <w:proofErr w:type="gramEnd"/>
            <w:r w:rsidRPr="0062772A">
              <w:rPr>
                <w:rFonts w:ascii="Arial" w:hAnsi="Arial" w:cs="Arial"/>
              </w:rPr>
              <w:t>.</w:t>
            </w:r>
          </w:p>
          <w:p w14:paraId="5DCF4C98" w14:textId="77777777" w:rsidR="00B34510" w:rsidRPr="004A577F" w:rsidRDefault="00B34510" w:rsidP="00997B94">
            <w:pPr>
              <w:tabs>
                <w:tab w:val="left" w:pos="240"/>
                <w:tab w:val="center" w:pos="4839"/>
              </w:tabs>
              <w:rPr>
                <w:rFonts w:ascii="Arial" w:hAnsi="Arial" w:cs="Arial"/>
              </w:rPr>
            </w:pPr>
          </w:p>
        </w:tc>
      </w:tr>
      <w:tr w:rsidR="002A162A" w:rsidRPr="000602A6" w14:paraId="54155670" w14:textId="77777777" w:rsidTr="00975117">
        <w:trPr>
          <w:trHeight w:val="279"/>
        </w:trPr>
        <w:tc>
          <w:tcPr>
            <w:tcW w:w="9895" w:type="dxa"/>
            <w:gridSpan w:val="2"/>
            <w:shd w:val="clear" w:color="auto" w:fill="1F4E79" w:themeFill="accent1" w:themeFillShade="80"/>
          </w:tcPr>
          <w:p w14:paraId="293AE94F" w14:textId="77777777" w:rsidR="002A162A" w:rsidRPr="000602A6" w:rsidRDefault="001B296E" w:rsidP="00975117">
            <w:pPr>
              <w:jc w:val="center"/>
              <w:rPr>
                <w:rFonts w:ascii="Arial" w:hAnsi="Arial" w:cs="Arial"/>
                <w:b/>
                <w:color w:val="FFFFFF" w:themeColor="background1"/>
              </w:rPr>
            </w:pPr>
            <w:r>
              <w:rPr>
                <w:rFonts w:ascii="Arial" w:hAnsi="Arial" w:cs="Arial"/>
                <w:b/>
                <w:color w:val="FFFFFF" w:themeColor="background1"/>
              </w:rPr>
              <w:lastRenderedPageBreak/>
              <w:t>October 30</w:t>
            </w:r>
            <w:r w:rsidR="002A162A">
              <w:rPr>
                <w:rFonts w:ascii="Arial" w:hAnsi="Arial" w:cs="Arial"/>
                <w:b/>
                <w:color w:val="FFFFFF" w:themeColor="background1"/>
              </w:rPr>
              <w:t>, 2019</w:t>
            </w:r>
          </w:p>
        </w:tc>
      </w:tr>
      <w:tr w:rsidR="002A162A" w:rsidRPr="000602A6" w14:paraId="45BD79BB" w14:textId="77777777" w:rsidTr="00975117">
        <w:trPr>
          <w:trHeight w:val="279"/>
        </w:trPr>
        <w:tc>
          <w:tcPr>
            <w:tcW w:w="2245" w:type="dxa"/>
            <w:shd w:val="clear" w:color="auto" w:fill="1F4E79" w:themeFill="accent1" w:themeFillShade="80"/>
          </w:tcPr>
          <w:p w14:paraId="51A1DF41"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14:paraId="49FE8EEA" w14:textId="77777777" w:rsidR="002A162A" w:rsidRPr="000602A6" w:rsidRDefault="001B296E" w:rsidP="00975117">
            <w:pPr>
              <w:rPr>
                <w:rFonts w:ascii="Arial" w:hAnsi="Arial" w:cs="Arial"/>
              </w:rPr>
            </w:pPr>
            <w:r>
              <w:rPr>
                <w:rFonts w:ascii="Arial" w:hAnsi="Arial" w:cs="Arial"/>
              </w:rPr>
              <w:t xml:space="preserve">Missouri Gas Energy (Spire West) </w:t>
            </w:r>
          </w:p>
        </w:tc>
      </w:tr>
      <w:tr w:rsidR="002A162A" w:rsidRPr="00B51D1F" w14:paraId="65138493" w14:textId="77777777" w:rsidTr="00975117">
        <w:trPr>
          <w:trHeight w:val="279"/>
        </w:trPr>
        <w:tc>
          <w:tcPr>
            <w:tcW w:w="2245" w:type="dxa"/>
            <w:shd w:val="clear" w:color="auto" w:fill="1F4E79" w:themeFill="accent1" w:themeFillShade="80"/>
          </w:tcPr>
          <w:p w14:paraId="10F3C2CB"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14:paraId="7284A0A3" w14:textId="77777777" w:rsidR="002A162A" w:rsidRPr="00B51D1F" w:rsidRDefault="001B296E" w:rsidP="00975117">
            <w:pPr>
              <w:rPr>
                <w:rFonts w:ascii="Arial" w:hAnsi="Arial" w:cs="Arial"/>
              </w:rPr>
            </w:pPr>
            <w:r>
              <w:rPr>
                <w:rFonts w:ascii="Arial" w:hAnsi="Arial" w:cs="Arial"/>
              </w:rPr>
              <w:t>Missouri</w:t>
            </w:r>
          </w:p>
        </w:tc>
      </w:tr>
      <w:tr w:rsidR="002A162A" w:rsidRPr="00B51D1F" w14:paraId="125508A8" w14:textId="77777777" w:rsidTr="00975117">
        <w:trPr>
          <w:trHeight w:val="263"/>
        </w:trPr>
        <w:tc>
          <w:tcPr>
            <w:tcW w:w="2245" w:type="dxa"/>
            <w:shd w:val="clear" w:color="auto" w:fill="1F4E79" w:themeFill="accent1" w:themeFillShade="80"/>
          </w:tcPr>
          <w:p w14:paraId="38D1E2E1"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14:paraId="66F9A5A8" w14:textId="77777777" w:rsidR="002A162A" w:rsidRPr="00B51D1F" w:rsidRDefault="00F103A3" w:rsidP="00975117">
            <w:pPr>
              <w:rPr>
                <w:rFonts w:ascii="Arial" w:hAnsi="Arial" w:cs="Arial"/>
                <w:color w:val="0000FF"/>
                <w:u w:val="single"/>
              </w:rPr>
            </w:pPr>
            <w:hyperlink r:id="rId13" w:history="1">
              <w:r w:rsidR="001B296E" w:rsidRPr="001B296E">
                <w:rPr>
                  <w:rStyle w:val="Hyperlink"/>
                  <w:rFonts w:ascii="Arial" w:hAnsi="Arial" w:cs="Arial"/>
                </w:rPr>
                <w:t>GO-2019-0357</w:t>
              </w:r>
            </w:hyperlink>
          </w:p>
        </w:tc>
      </w:tr>
      <w:tr w:rsidR="002A162A" w:rsidRPr="00416BC2" w14:paraId="370F7860" w14:textId="77777777" w:rsidTr="00975117">
        <w:trPr>
          <w:trHeight w:val="279"/>
        </w:trPr>
        <w:tc>
          <w:tcPr>
            <w:tcW w:w="2245" w:type="dxa"/>
            <w:shd w:val="clear" w:color="auto" w:fill="1F4E79" w:themeFill="accent1" w:themeFillShade="80"/>
          </w:tcPr>
          <w:p w14:paraId="6339DAB6"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14:paraId="3D887579" w14:textId="77777777" w:rsidR="002A162A" w:rsidRPr="00416BC2" w:rsidRDefault="003B451E" w:rsidP="00975117">
            <w:pPr>
              <w:rPr>
                <w:rFonts w:ascii="Arial" w:hAnsi="Arial" w:cs="Arial"/>
              </w:rPr>
            </w:pPr>
            <w:r>
              <w:rPr>
                <w:rFonts w:ascii="Arial" w:hAnsi="Arial" w:cs="Arial"/>
              </w:rPr>
              <w:t>$</w:t>
            </w:r>
            <w:r w:rsidR="001B296E">
              <w:rPr>
                <w:rFonts w:ascii="Arial" w:hAnsi="Arial" w:cs="Arial"/>
              </w:rPr>
              <w:t>4,000,000</w:t>
            </w:r>
          </w:p>
        </w:tc>
      </w:tr>
      <w:tr w:rsidR="002A162A" w:rsidRPr="00B51D1F" w14:paraId="2C878F9F" w14:textId="77777777" w:rsidTr="00975117">
        <w:trPr>
          <w:trHeight w:val="263"/>
        </w:trPr>
        <w:tc>
          <w:tcPr>
            <w:tcW w:w="2245" w:type="dxa"/>
            <w:shd w:val="clear" w:color="auto" w:fill="1F4E79" w:themeFill="accent1" w:themeFillShade="80"/>
          </w:tcPr>
          <w:p w14:paraId="6789D769"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14:paraId="2E19BD7F" w14:textId="77777777" w:rsidR="002A162A" w:rsidRPr="00B51D1F" w:rsidRDefault="001B296E" w:rsidP="00975117">
            <w:pPr>
              <w:rPr>
                <w:rFonts w:ascii="Arial" w:hAnsi="Arial" w:cs="Arial"/>
              </w:rPr>
            </w:pPr>
            <w:r>
              <w:rPr>
                <w:rFonts w:ascii="Arial" w:hAnsi="Arial" w:cs="Arial"/>
              </w:rPr>
              <w:t>N/A</w:t>
            </w:r>
          </w:p>
        </w:tc>
      </w:tr>
      <w:tr w:rsidR="002A162A" w:rsidRPr="00B51D1F" w14:paraId="29EFAF0E" w14:textId="77777777" w:rsidTr="00975117">
        <w:trPr>
          <w:trHeight w:val="263"/>
        </w:trPr>
        <w:tc>
          <w:tcPr>
            <w:tcW w:w="2245" w:type="dxa"/>
            <w:shd w:val="clear" w:color="auto" w:fill="1F4E79" w:themeFill="accent1" w:themeFillShade="80"/>
          </w:tcPr>
          <w:p w14:paraId="679DA279" w14:textId="77777777" w:rsidR="002A162A" w:rsidRPr="00B51D1F" w:rsidRDefault="002A162A" w:rsidP="00975117">
            <w:pPr>
              <w:rPr>
                <w:rFonts w:ascii="Arial" w:hAnsi="Arial" w:cs="Arial"/>
                <w:b/>
                <w:color w:val="FFFFFF" w:themeColor="background1"/>
              </w:rPr>
            </w:pPr>
            <w:r>
              <w:rPr>
                <w:rFonts w:ascii="Arial" w:hAnsi="Arial" w:cs="Arial"/>
                <w:b/>
                <w:color w:val="FFFFFF" w:themeColor="background1"/>
              </w:rPr>
              <w:t>Intervenors</w:t>
            </w:r>
          </w:p>
        </w:tc>
        <w:tc>
          <w:tcPr>
            <w:tcW w:w="7650" w:type="dxa"/>
          </w:tcPr>
          <w:p w14:paraId="256EE263" w14:textId="77777777" w:rsidR="002A162A" w:rsidRPr="00B51D1F" w:rsidRDefault="002A162A" w:rsidP="00975117">
            <w:pPr>
              <w:rPr>
                <w:rFonts w:ascii="Arial" w:hAnsi="Arial" w:cs="Arial"/>
              </w:rPr>
            </w:pPr>
          </w:p>
        </w:tc>
      </w:tr>
      <w:tr w:rsidR="002A162A" w:rsidRPr="00B51D1F" w14:paraId="19976AA7" w14:textId="77777777" w:rsidTr="00975117">
        <w:trPr>
          <w:trHeight w:val="263"/>
        </w:trPr>
        <w:tc>
          <w:tcPr>
            <w:tcW w:w="9895" w:type="dxa"/>
            <w:gridSpan w:val="2"/>
            <w:shd w:val="clear" w:color="auto" w:fill="1F4E79" w:themeFill="accent1" w:themeFillShade="80"/>
          </w:tcPr>
          <w:p w14:paraId="6B1B83AD" w14:textId="77777777" w:rsidR="002A162A" w:rsidRPr="00B51D1F" w:rsidRDefault="002A162A" w:rsidP="00975117">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2A162A" w:rsidRPr="00B51D1F" w14:paraId="6ADEE869" w14:textId="77777777" w:rsidTr="00975117">
        <w:trPr>
          <w:trHeight w:val="263"/>
        </w:trPr>
        <w:tc>
          <w:tcPr>
            <w:tcW w:w="9895" w:type="dxa"/>
            <w:gridSpan w:val="2"/>
            <w:shd w:val="clear" w:color="auto" w:fill="FFFFFF" w:themeFill="background1"/>
          </w:tcPr>
          <w:p w14:paraId="60E3443C" w14:textId="77777777" w:rsidR="001B296E" w:rsidRPr="001B296E" w:rsidRDefault="001B296E" w:rsidP="001B296E">
            <w:pPr>
              <w:tabs>
                <w:tab w:val="left" w:pos="240"/>
                <w:tab w:val="center" w:pos="4839"/>
              </w:tabs>
              <w:rPr>
                <w:rFonts w:ascii="Arial" w:hAnsi="Arial" w:cs="Arial"/>
              </w:rPr>
            </w:pPr>
            <w:r w:rsidRPr="001B296E">
              <w:rPr>
                <w:rFonts w:ascii="Arial" w:hAnsi="Arial" w:cs="Arial"/>
              </w:rPr>
              <w:t>The Missouri Public Service Commission has approved a change in the infrastructure system replacement surcharge (ISRS) for Spire West customers (formerly Missouri Gas Energy) of Spire Missouri, Inc. The ISRS first appeared on customer bills in April 2004.</w:t>
            </w:r>
          </w:p>
          <w:p w14:paraId="09BD9B26" w14:textId="77777777" w:rsidR="001B296E" w:rsidRPr="001B296E" w:rsidRDefault="001B296E" w:rsidP="001B296E">
            <w:pPr>
              <w:tabs>
                <w:tab w:val="left" w:pos="240"/>
                <w:tab w:val="center" w:pos="4839"/>
              </w:tabs>
              <w:rPr>
                <w:rFonts w:ascii="Arial" w:hAnsi="Arial" w:cs="Arial"/>
              </w:rPr>
            </w:pPr>
          </w:p>
          <w:p w14:paraId="49F5C31E" w14:textId="77777777" w:rsidR="001B296E" w:rsidRPr="001B296E" w:rsidRDefault="001B296E" w:rsidP="001B296E">
            <w:pPr>
              <w:tabs>
                <w:tab w:val="left" w:pos="240"/>
                <w:tab w:val="center" w:pos="4839"/>
              </w:tabs>
              <w:rPr>
                <w:rFonts w:ascii="Arial" w:hAnsi="Arial" w:cs="Arial"/>
              </w:rPr>
            </w:pPr>
            <w:r w:rsidRPr="001B296E">
              <w:rPr>
                <w:rFonts w:ascii="Arial" w:hAnsi="Arial" w:cs="Arial"/>
              </w:rPr>
              <w:t>The ISRS adjustment reflects infrastructure replacement investments made by the natural gas company from February 1, 2019 through May 31, 2019, updated for the months of June and July. Spire, in this case, also requested recovery of infrastructure replacement costs for the period of October 1, 2017 through June 30, 2018 to the extent the costs associated with those investments were not approved for recovery in Case Nos. GO-2018-0309 and GO-2018-0310. These costs for natural gas pipeline replacements and relocations are not currently included in Spire’s rates.</w:t>
            </w:r>
          </w:p>
          <w:p w14:paraId="744B2638" w14:textId="77777777" w:rsidR="001B296E" w:rsidRPr="001B296E" w:rsidRDefault="001B296E" w:rsidP="001B296E">
            <w:pPr>
              <w:tabs>
                <w:tab w:val="left" w:pos="240"/>
                <w:tab w:val="center" w:pos="4839"/>
              </w:tabs>
              <w:rPr>
                <w:rFonts w:ascii="Arial" w:hAnsi="Arial" w:cs="Arial"/>
              </w:rPr>
            </w:pPr>
          </w:p>
          <w:p w14:paraId="020627C3" w14:textId="77777777" w:rsidR="00242B67" w:rsidRDefault="001B296E" w:rsidP="001B296E">
            <w:pPr>
              <w:tabs>
                <w:tab w:val="left" w:pos="240"/>
                <w:tab w:val="center" w:pos="4839"/>
              </w:tabs>
              <w:rPr>
                <w:rFonts w:ascii="Arial" w:hAnsi="Arial" w:cs="Arial"/>
              </w:rPr>
            </w:pPr>
            <w:r w:rsidRPr="001B296E">
              <w:rPr>
                <w:rFonts w:ascii="Arial" w:hAnsi="Arial" w:cs="Arial"/>
              </w:rPr>
              <w:t>The current ISRS for residential customers of Spire West is $1.75 a month. As a result of this case, the ISRS will be adjusted and residential customers will pay $2.34 a month, an increase of $0.59 a month. The change is expected to take effect on November 16, 2019.</w:t>
            </w:r>
          </w:p>
          <w:p w14:paraId="4130093B" w14:textId="77777777" w:rsidR="001B296E" w:rsidRPr="00B51D1F" w:rsidRDefault="001B296E" w:rsidP="001B296E">
            <w:pPr>
              <w:tabs>
                <w:tab w:val="left" w:pos="240"/>
                <w:tab w:val="center" w:pos="4839"/>
              </w:tabs>
              <w:rPr>
                <w:rFonts w:ascii="Arial" w:hAnsi="Arial" w:cs="Arial"/>
              </w:rPr>
            </w:pPr>
          </w:p>
        </w:tc>
      </w:tr>
      <w:tr w:rsidR="002A162A" w:rsidRPr="000602A6" w14:paraId="497F8A5C" w14:textId="77777777" w:rsidTr="00975117">
        <w:trPr>
          <w:trHeight w:val="279"/>
        </w:trPr>
        <w:tc>
          <w:tcPr>
            <w:tcW w:w="9895" w:type="dxa"/>
            <w:gridSpan w:val="2"/>
            <w:shd w:val="clear" w:color="auto" w:fill="1F4E79" w:themeFill="accent1" w:themeFillShade="80"/>
          </w:tcPr>
          <w:p w14:paraId="0486FC09" w14:textId="77777777" w:rsidR="002A162A" w:rsidRPr="000602A6" w:rsidRDefault="001B296E" w:rsidP="00975117">
            <w:pPr>
              <w:jc w:val="center"/>
              <w:rPr>
                <w:rFonts w:ascii="Arial" w:hAnsi="Arial" w:cs="Arial"/>
                <w:b/>
                <w:color w:val="FFFFFF" w:themeColor="background1"/>
              </w:rPr>
            </w:pPr>
            <w:r>
              <w:rPr>
                <w:rFonts w:ascii="Arial" w:hAnsi="Arial" w:cs="Arial"/>
                <w:b/>
                <w:color w:val="FFFFFF" w:themeColor="background1"/>
              </w:rPr>
              <w:t>October 30</w:t>
            </w:r>
            <w:r w:rsidR="002A162A">
              <w:rPr>
                <w:rFonts w:ascii="Arial" w:hAnsi="Arial" w:cs="Arial"/>
                <w:b/>
                <w:color w:val="FFFFFF" w:themeColor="background1"/>
              </w:rPr>
              <w:t>, 2019</w:t>
            </w:r>
          </w:p>
        </w:tc>
      </w:tr>
      <w:tr w:rsidR="002A162A" w:rsidRPr="000602A6" w14:paraId="55314866" w14:textId="77777777" w:rsidTr="00975117">
        <w:trPr>
          <w:trHeight w:val="279"/>
        </w:trPr>
        <w:tc>
          <w:tcPr>
            <w:tcW w:w="2245" w:type="dxa"/>
            <w:shd w:val="clear" w:color="auto" w:fill="1F4E79" w:themeFill="accent1" w:themeFillShade="80"/>
          </w:tcPr>
          <w:p w14:paraId="3CEBC1E4"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14:paraId="3B7A12D5" w14:textId="77777777" w:rsidR="002A162A" w:rsidRPr="000602A6" w:rsidRDefault="001B296E" w:rsidP="00975117">
            <w:pPr>
              <w:rPr>
                <w:rFonts w:ascii="Arial" w:hAnsi="Arial" w:cs="Arial"/>
              </w:rPr>
            </w:pPr>
            <w:r w:rsidRPr="001B296E">
              <w:rPr>
                <w:rFonts w:ascii="Arial" w:hAnsi="Arial" w:cs="Arial"/>
              </w:rPr>
              <w:t>Spire Missouri Inc.</w:t>
            </w:r>
          </w:p>
        </w:tc>
      </w:tr>
      <w:tr w:rsidR="002A162A" w:rsidRPr="00B51D1F" w14:paraId="450F053E" w14:textId="77777777" w:rsidTr="00975117">
        <w:trPr>
          <w:trHeight w:val="279"/>
        </w:trPr>
        <w:tc>
          <w:tcPr>
            <w:tcW w:w="2245" w:type="dxa"/>
            <w:shd w:val="clear" w:color="auto" w:fill="1F4E79" w:themeFill="accent1" w:themeFillShade="80"/>
          </w:tcPr>
          <w:p w14:paraId="5EB354C8"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14:paraId="20C873CB" w14:textId="77777777" w:rsidR="002A162A" w:rsidRPr="00B51D1F" w:rsidRDefault="001B296E" w:rsidP="00975117">
            <w:pPr>
              <w:rPr>
                <w:rFonts w:ascii="Arial" w:hAnsi="Arial" w:cs="Arial"/>
              </w:rPr>
            </w:pPr>
            <w:r>
              <w:rPr>
                <w:rFonts w:ascii="Arial" w:hAnsi="Arial" w:cs="Arial"/>
              </w:rPr>
              <w:t>Missouri</w:t>
            </w:r>
          </w:p>
        </w:tc>
      </w:tr>
      <w:tr w:rsidR="002A162A" w:rsidRPr="00B51D1F" w14:paraId="15B8F6BD" w14:textId="77777777" w:rsidTr="00975117">
        <w:trPr>
          <w:trHeight w:val="263"/>
        </w:trPr>
        <w:tc>
          <w:tcPr>
            <w:tcW w:w="2245" w:type="dxa"/>
            <w:shd w:val="clear" w:color="auto" w:fill="1F4E79" w:themeFill="accent1" w:themeFillShade="80"/>
          </w:tcPr>
          <w:p w14:paraId="6C48F4D6"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14:paraId="45E5A35D" w14:textId="77777777" w:rsidR="002A162A" w:rsidRPr="001B296E" w:rsidRDefault="00F103A3" w:rsidP="001B296E">
            <w:pPr>
              <w:spacing w:before="150"/>
              <w:rPr>
                <w:rFonts w:ascii="Arial" w:hAnsi="Arial" w:cs="Arial"/>
              </w:rPr>
            </w:pPr>
            <w:hyperlink r:id="rId14" w:history="1">
              <w:r w:rsidR="001B296E" w:rsidRPr="001B296E">
                <w:rPr>
                  <w:rStyle w:val="Hyperlink"/>
                  <w:rFonts w:ascii="Arial" w:hAnsi="Arial" w:cs="Arial"/>
                </w:rPr>
                <w:t>GO-2019-0356</w:t>
              </w:r>
            </w:hyperlink>
          </w:p>
        </w:tc>
      </w:tr>
      <w:tr w:rsidR="002A162A" w:rsidRPr="00416BC2" w14:paraId="1BCDE40A" w14:textId="77777777" w:rsidTr="00975117">
        <w:trPr>
          <w:trHeight w:val="279"/>
        </w:trPr>
        <w:tc>
          <w:tcPr>
            <w:tcW w:w="2245" w:type="dxa"/>
            <w:shd w:val="clear" w:color="auto" w:fill="1F4E79" w:themeFill="accent1" w:themeFillShade="80"/>
          </w:tcPr>
          <w:p w14:paraId="73DE5CDD"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14:paraId="349D90EF" w14:textId="77777777" w:rsidR="002A162A" w:rsidRPr="00416BC2" w:rsidRDefault="001B296E" w:rsidP="00975117">
            <w:pPr>
              <w:rPr>
                <w:rFonts w:ascii="Arial" w:hAnsi="Arial" w:cs="Arial"/>
              </w:rPr>
            </w:pPr>
            <w:r>
              <w:rPr>
                <w:rFonts w:ascii="Arial" w:hAnsi="Arial" w:cs="Arial"/>
              </w:rPr>
              <w:t>$4,800,000</w:t>
            </w:r>
          </w:p>
        </w:tc>
      </w:tr>
      <w:tr w:rsidR="002A162A" w:rsidRPr="00B51D1F" w14:paraId="7B1F53AF" w14:textId="77777777" w:rsidTr="00975117">
        <w:trPr>
          <w:trHeight w:val="263"/>
        </w:trPr>
        <w:tc>
          <w:tcPr>
            <w:tcW w:w="2245" w:type="dxa"/>
            <w:shd w:val="clear" w:color="auto" w:fill="1F4E79" w:themeFill="accent1" w:themeFillShade="80"/>
          </w:tcPr>
          <w:p w14:paraId="44B2047C"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lastRenderedPageBreak/>
              <w:t>Approved ROE</w:t>
            </w:r>
          </w:p>
        </w:tc>
        <w:tc>
          <w:tcPr>
            <w:tcW w:w="7650" w:type="dxa"/>
          </w:tcPr>
          <w:p w14:paraId="7C62F35E" w14:textId="77777777" w:rsidR="002A162A" w:rsidRPr="00B51D1F" w:rsidRDefault="001B296E" w:rsidP="00975117">
            <w:pPr>
              <w:rPr>
                <w:rFonts w:ascii="Arial" w:hAnsi="Arial" w:cs="Arial"/>
              </w:rPr>
            </w:pPr>
            <w:r>
              <w:rPr>
                <w:rFonts w:ascii="Arial" w:hAnsi="Arial" w:cs="Arial"/>
              </w:rPr>
              <w:t>N/A</w:t>
            </w:r>
          </w:p>
        </w:tc>
      </w:tr>
      <w:tr w:rsidR="002A162A" w:rsidRPr="00B51D1F" w14:paraId="1B01A7EE" w14:textId="77777777" w:rsidTr="00975117">
        <w:trPr>
          <w:trHeight w:val="263"/>
        </w:trPr>
        <w:tc>
          <w:tcPr>
            <w:tcW w:w="2245" w:type="dxa"/>
            <w:shd w:val="clear" w:color="auto" w:fill="1F4E79" w:themeFill="accent1" w:themeFillShade="80"/>
          </w:tcPr>
          <w:p w14:paraId="7BDA4832" w14:textId="77777777" w:rsidR="002A162A" w:rsidRPr="00B51D1F" w:rsidRDefault="002A162A" w:rsidP="00975117">
            <w:pPr>
              <w:rPr>
                <w:rFonts w:ascii="Arial" w:hAnsi="Arial" w:cs="Arial"/>
                <w:b/>
                <w:color w:val="FFFFFF" w:themeColor="background1"/>
              </w:rPr>
            </w:pPr>
            <w:r>
              <w:rPr>
                <w:rFonts w:ascii="Arial" w:hAnsi="Arial" w:cs="Arial"/>
                <w:b/>
                <w:color w:val="FFFFFF" w:themeColor="background1"/>
              </w:rPr>
              <w:t>Intervenors</w:t>
            </w:r>
          </w:p>
        </w:tc>
        <w:tc>
          <w:tcPr>
            <w:tcW w:w="7650" w:type="dxa"/>
          </w:tcPr>
          <w:p w14:paraId="0010AE76" w14:textId="77777777" w:rsidR="002A162A" w:rsidRPr="00B51D1F" w:rsidRDefault="002A162A" w:rsidP="00975117">
            <w:pPr>
              <w:rPr>
                <w:rFonts w:ascii="Arial" w:hAnsi="Arial" w:cs="Arial"/>
              </w:rPr>
            </w:pPr>
          </w:p>
        </w:tc>
      </w:tr>
      <w:tr w:rsidR="002A162A" w:rsidRPr="00B51D1F" w14:paraId="326C38DD" w14:textId="77777777" w:rsidTr="00975117">
        <w:trPr>
          <w:trHeight w:val="263"/>
        </w:trPr>
        <w:tc>
          <w:tcPr>
            <w:tcW w:w="9895" w:type="dxa"/>
            <w:gridSpan w:val="2"/>
            <w:shd w:val="clear" w:color="auto" w:fill="1F4E79" w:themeFill="accent1" w:themeFillShade="80"/>
          </w:tcPr>
          <w:p w14:paraId="29941EBE" w14:textId="77777777" w:rsidR="002A162A" w:rsidRPr="00B51D1F" w:rsidRDefault="002A162A" w:rsidP="00975117">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2A162A" w:rsidRPr="00B51D1F" w14:paraId="30B57608" w14:textId="77777777" w:rsidTr="00975117">
        <w:trPr>
          <w:trHeight w:val="263"/>
        </w:trPr>
        <w:tc>
          <w:tcPr>
            <w:tcW w:w="9895" w:type="dxa"/>
            <w:gridSpan w:val="2"/>
            <w:shd w:val="clear" w:color="auto" w:fill="FFFFFF" w:themeFill="background1"/>
          </w:tcPr>
          <w:p w14:paraId="7CCE47F4" w14:textId="77777777" w:rsidR="001B296E" w:rsidRPr="001B296E" w:rsidRDefault="001B296E" w:rsidP="001B296E">
            <w:pPr>
              <w:tabs>
                <w:tab w:val="left" w:pos="240"/>
                <w:tab w:val="center" w:pos="4839"/>
              </w:tabs>
              <w:rPr>
                <w:rFonts w:ascii="Arial" w:hAnsi="Arial" w:cs="Arial"/>
              </w:rPr>
            </w:pPr>
            <w:r w:rsidRPr="001B296E">
              <w:rPr>
                <w:rFonts w:ascii="Arial" w:hAnsi="Arial" w:cs="Arial"/>
              </w:rPr>
              <w:t>The Missouri Public Service Commission has approved a change in the infrastructure system replacement surcharge (ISRS) for Spire East customers of Spire Missouri, Inc. The ISRS first appeared on customer bills in June 2004.</w:t>
            </w:r>
          </w:p>
          <w:p w14:paraId="10AB5B66" w14:textId="77777777" w:rsidR="001B296E" w:rsidRPr="001B296E" w:rsidRDefault="001B296E" w:rsidP="001B296E">
            <w:pPr>
              <w:tabs>
                <w:tab w:val="left" w:pos="240"/>
                <w:tab w:val="center" w:pos="4839"/>
              </w:tabs>
              <w:rPr>
                <w:rFonts w:ascii="Arial" w:hAnsi="Arial" w:cs="Arial"/>
              </w:rPr>
            </w:pPr>
          </w:p>
          <w:p w14:paraId="18DDFFFF" w14:textId="77777777" w:rsidR="001B296E" w:rsidRPr="001B296E" w:rsidRDefault="001B296E" w:rsidP="001B296E">
            <w:pPr>
              <w:tabs>
                <w:tab w:val="left" w:pos="240"/>
                <w:tab w:val="center" w:pos="4839"/>
              </w:tabs>
              <w:rPr>
                <w:rFonts w:ascii="Arial" w:hAnsi="Arial" w:cs="Arial"/>
              </w:rPr>
            </w:pPr>
            <w:r w:rsidRPr="001B296E">
              <w:rPr>
                <w:rFonts w:ascii="Arial" w:hAnsi="Arial" w:cs="Arial"/>
              </w:rPr>
              <w:t>The ISRS adjustment reflects infrastructure replacement investments made by the natural gas company from February 1, 2019 through May 31, 2019, updated for the months of June and July. Spire, in this case, also requested recovery of infrastructure replacement costs for the period of October 1, 2017 through June 30, 2018 to the extent the costs associated with those investments were not approved for recovery in Case Nos. GO-2018-0309 and GO-2018-0310. These costs for natural gas pipeline replacements and relocations are not currently included in Spire’s rates.</w:t>
            </w:r>
          </w:p>
          <w:p w14:paraId="17B285FF" w14:textId="77777777" w:rsidR="001B296E" w:rsidRPr="001B296E" w:rsidRDefault="001B296E" w:rsidP="001B296E">
            <w:pPr>
              <w:tabs>
                <w:tab w:val="left" w:pos="240"/>
                <w:tab w:val="center" w:pos="4839"/>
              </w:tabs>
              <w:rPr>
                <w:rFonts w:ascii="Arial" w:hAnsi="Arial" w:cs="Arial"/>
              </w:rPr>
            </w:pPr>
          </w:p>
          <w:p w14:paraId="2437A2D7" w14:textId="77777777" w:rsidR="006D1D2A" w:rsidRDefault="001B296E" w:rsidP="001B296E">
            <w:pPr>
              <w:tabs>
                <w:tab w:val="left" w:pos="240"/>
                <w:tab w:val="center" w:pos="4839"/>
              </w:tabs>
              <w:rPr>
                <w:rFonts w:ascii="Arial" w:hAnsi="Arial" w:cs="Arial"/>
              </w:rPr>
            </w:pPr>
            <w:r w:rsidRPr="001B296E">
              <w:rPr>
                <w:rFonts w:ascii="Arial" w:hAnsi="Arial" w:cs="Arial"/>
              </w:rPr>
              <w:t>The current ISRS for residential customers of Spire East is $1.01 a month. As a result of this case, the ISRS will be adjusted and residential customers will pay $1.58 a month, an increase of $0.57 a month. The change is expected to take effect on November 16, 2019.</w:t>
            </w:r>
          </w:p>
          <w:p w14:paraId="36CB4F7E" w14:textId="615C1251" w:rsidR="00717086" w:rsidRPr="00B51D1F" w:rsidRDefault="00717086" w:rsidP="001B296E">
            <w:pPr>
              <w:tabs>
                <w:tab w:val="left" w:pos="240"/>
                <w:tab w:val="center" w:pos="4839"/>
              </w:tabs>
              <w:rPr>
                <w:rFonts w:ascii="Arial" w:hAnsi="Arial" w:cs="Arial"/>
              </w:rPr>
            </w:pPr>
          </w:p>
        </w:tc>
      </w:tr>
      <w:tr w:rsidR="002A162A" w:rsidRPr="000602A6" w14:paraId="44504252" w14:textId="77777777" w:rsidTr="00975117">
        <w:trPr>
          <w:trHeight w:val="279"/>
        </w:trPr>
        <w:tc>
          <w:tcPr>
            <w:tcW w:w="9895" w:type="dxa"/>
            <w:gridSpan w:val="2"/>
            <w:shd w:val="clear" w:color="auto" w:fill="1F4E79" w:themeFill="accent1" w:themeFillShade="80"/>
          </w:tcPr>
          <w:p w14:paraId="3C7DE1E7" w14:textId="77777777" w:rsidR="002A162A" w:rsidRPr="000602A6" w:rsidRDefault="00B82AEC" w:rsidP="00975117">
            <w:pPr>
              <w:jc w:val="center"/>
              <w:rPr>
                <w:rFonts w:ascii="Arial" w:hAnsi="Arial" w:cs="Arial"/>
                <w:b/>
                <w:color w:val="FFFFFF" w:themeColor="background1"/>
              </w:rPr>
            </w:pPr>
            <w:r>
              <w:rPr>
                <w:rFonts w:ascii="Arial" w:hAnsi="Arial" w:cs="Arial"/>
                <w:b/>
                <w:color w:val="FFFFFF" w:themeColor="background1"/>
              </w:rPr>
              <w:t>October</w:t>
            </w:r>
            <w:r w:rsidR="002A162A">
              <w:rPr>
                <w:rFonts w:ascii="Arial" w:hAnsi="Arial" w:cs="Arial"/>
                <w:b/>
                <w:color w:val="FFFFFF" w:themeColor="background1"/>
              </w:rPr>
              <w:t xml:space="preserve"> </w:t>
            </w:r>
            <w:r>
              <w:rPr>
                <w:rFonts w:ascii="Arial" w:hAnsi="Arial" w:cs="Arial"/>
                <w:b/>
                <w:color w:val="FFFFFF" w:themeColor="background1"/>
              </w:rPr>
              <w:t>31</w:t>
            </w:r>
            <w:r w:rsidR="002A162A">
              <w:rPr>
                <w:rFonts w:ascii="Arial" w:hAnsi="Arial" w:cs="Arial"/>
                <w:b/>
                <w:color w:val="FFFFFF" w:themeColor="background1"/>
              </w:rPr>
              <w:t>, 2019</w:t>
            </w:r>
          </w:p>
        </w:tc>
      </w:tr>
      <w:tr w:rsidR="002A162A" w:rsidRPr="000602A6" w14:paraId="3DD08817" w14:textId="77777777" w:rsidTr="00975117">
        <w:trPr>
          <w:trHeight w:val="279"/>
        </w:trPr>
        <w:tc>
          <w:tcPr>
            <w:tcW w:w="2245" w:type="dxa"/>
            <w:shd w:val="clear" w:color="auto" w:fill="1F4E79" w:themeFill="accent1" w:themeFillShade="80"/>
          </w:tcPr>
          <w:p w14:paraId="560D10BD"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14:paraId="4E481167" w14:textId="77777777" w:rsidR="002A162A" w:rsidRPr="000602A6" w:rsidRDefault="00B82AEC" w:rsidP="00975117">
            <w:pPr>
              <w:rPr>
                <w:rFonts w:ascii="Arial" w:hAnsi="Arial" w:cs="Arial"/>
              </w:rPr>
            </w:pPr>
            <w:r>
              <w:rPr>
                <w:rFonts w:ascii="Arial" w:hAnsi="Arial" w:cs="Arial"/>
              </w:rPr>
              <w:t>Piedmont Natural Gas Co.</w:t>
            </w:r>
          </w:p>
        </w:tc>
      </w:tr>
      <w:tr w:rsidR="002A162A" w:rsidRPr="00B51D1F" w14:paraId="08FBAB27" w14:textId="77777777" w:rsidTr="00975117">
        <w:trPr>
          <w:trHeight w:val="279"/>
        </w:trPr>
        <w:tc>
          <w:tcPr>
            <w:tcW w:w="2245" w:type="dxa"/>
            <w:shd w:val="clear" w:color="auto" w:fill="1F4E79" w:themeFill="accent1" w:themeFillShade="80"/>
          </w:tcPr>
          <w:p w14:paraId="0401B4DF"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14:paraId="508492AC" w14:textId="77777777" w:rsidR="002A162A" w:rsidRPr="00B51D1F" w:rsidRDefault="004F15A0" w:rsidP="00975117">
            <w:pPr>
              <w:rPr>
                <w:rFonts w:ascii="Arial" w:hAnsi="Arial" w:cs="Arial"/>
              </w:rPr>
            </w:pPr>
            <w:r>
              <w:rPr>
                <w:rFonts w:ascii="Arial" w:hAnsi="Arial" w:cs="Arial"/>
              </w:rPr>
              <w:t>North Carolina</w:t>
            </w:r>
          </w:p>
        </w:tc>
      </w:tr>
      <w:tr w:rsidR="002A162A" w:rsidRPr="00B51D1F" w14:paraId="0AD8D975" w14:textId="77777777" w:rsidTr="00975117">
        <w:trPr>
          <w:trHeight w:val="263"/>
        </w:trPr>
        <w:tc>
          <w:tcPr>
            <w:tcW w:w="2245" w:type="dxa"/>
            <w:shd w:val="clear" w:color="auto" w:fill="1F4E79" w:themeFill="accent1" w:themeFillShade="80"/>
          </w:tcPr>
          <w:p w14:paraId="39E1A267"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14:paraId="20201BD7" w14:textId="77777777" w:rsidR="002A162A" w:rsidRPr="00B51D1F" w:rsidRDefault="004F15A0" w:rsidP="00975117">
            <w:pPr>
              <w:rPr>
                <w:rFonts w:ascii="Arial" w:hAnsi="Arial" w:cs="Arial"/>
                <w:color w:val="0000FF"/>
                <w:u w:val="single"/>
              </w:rPr>
            </w:pPr>
            <w:r w:rsidRPr="004F15A0">
              <w:rPr>
                <w:rFonts w:ascii="Arial" w:hAnsi="Arial" w:cs="Arial"/>
                <w:color w:val="0000FF"/>
                <w:u w:val="single"/>
              </w:rPr>
              <w:t> </w:t>
            </w:r>
            <w:hyperlink r:id="rId15" w:history="1">
              <w:r w:rsidRPr="004F15A0">
                <w:rPr>
                  <w:rStyle w:val="Hyperlink"/>
                  <w:rFonts w:ascii="Arial" w:hAnsi="Arial" w:cs="Arial"/>
                </w:rPr>
                <w:t>Docket No. G-9 Sub 743</w:t>
              </w:r>
            </w:hyperlink>
          </w:p>
        </w:tc>
      </w:tr>
      <w:tr w:rsidR="002A162A" w:rsidRPr="00416BC2" w14:paraId="71CD5C0C" w14:textId="77777777" w:rsidTr="00975117">
        <w:trPr>
          <w:trHeight w:val="279"/>
        </w:trPr>
        <w:tc>
          <w:tcPr>
            <w:tcW w:w="2245" w:type="dxa"/>
            <w:shd w:val="clear" w:color="auto" w:fill="1F4E79" w:themeFill="accent1" w:themeFillShade="80"/>
          </w:tcPr>
          <w:p w14:paraId="3C1B0285"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14:paraId="733C77D0" w14:textId="77777777" w:rsidR="002A162A" w:rsidRPr="00416BC2" w:rsidRDefault="004F15A0" w:rsidP="00975117">
            <w:pPr>
              <w:rPr>
                <w:rFonts w:ascii="Arial" w:hAnsi="Arial" w:cs="Arial"/>
              </w:rPr>
            </w:pPr>
            <w:r>
              <w:rPr>
                <w:rFonts w:ascii="Arial" w:hAnsi="Arial" w:cs="Arial"/>
              </w:rPr>
              <w:t>$</w:t>
            </w:r>
            <w:r w:rsidR="008A2177">
              <w:rPr>
                <w:rFonts w:ascii="Arial" w:hAnsi="Arial" w:cs="Arial"/>
              </w:rPr>
              <w:t>82</w:t>
            </w:r>
            <w:r>
              <w:rPr>
                <w:rFonts w:ascii="Arial" w:hAnsi="Arial" w:cs="Arial"/>
              </w:rPr>
              <w:t>,</w:t>
            </w:r>
            <w:r w:rsidR="008A2177">
              <w:rPr>
                <w:rFonts w:ascii="Arial" w:hAnsi="Arial" w:cs="Arial"/>
              </w:rPr>
              <w:t>8</w:t>
            </w:r>
            <w:r>
              <w:rPr>
                <w:rFonts w:ascii="Arial" w:hAnsi="Arial" w:cs="Arial"/>
              </w:rPr>
              <w:t>00,000</w:t>
            </w:r>
          </w:p>
        </w:tc>
      </w:tr>
      <w:tr w:rsidR="002A162A" w:rsidRPr="00B51D1F" w14:paraId="13677062" w14:textId="77777777" w:rsidTr="00975117">
        <w:trPr>
          <w:trHeight w:val="263"/>
        </w:trPr>
        <w:tc>
          <w:tcPr>
            <w:tcW w:w="2245" w:type="dxa"/>
            <w:shd w:val="clear" w:color="auto" w:fill="1F4E79" w:themeFill="accent1" w:themeFillShade="80"/>
          </w:tcPr>
          <w:p w14:paraId="6E51315E"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14:paraId="3BDFCA7A" w14:textId="77777777" w:rsidR="002A162A" w:rsidRPr="00B51D1F" w:rsidRDefault="004F15A0" w:rsidP="00975117">
            <w:pPr>
              <w:rPr>
                <w:rFonts w:ascii="Arial" w:hAnsi="Arial" w:cs="Arial"/>
              </w:rPr>
            </w:pPr>
            <w:r>
              <w:rPr>
                <w:rFonts w:ascii="Arial" w:hAnsi="Arial" w:cs="Arial"/>
              </w:rPr>
              <w:t>9.7%</w:t>
            </w:r>
          </w:p>
        </w:tc>
      </w:tr>
      <w:tr w:rsidR="002A162A" w:rsidRPr="00B51D1F" w14:paraId="098B22E0" w14:textId="77777777" w:rsidTr="00975117">
        <w:trPr>
          <w:trHeight w:val="263"/>
        </w:trPr>
        <w:tc>
          <w:tcPr>
            <w:tcW w:w="2245" w:type="dxa"/>
            <w:shd w:val="clear" w:color="auto" w:fill="1F4E79" w:themeFill="accent1" w:themeFillShade="80"/>
          </w:tcPr>
          <w:p w14:paraId="024F0CB6" w14:textId="77777777" w:rsidR="002A162A" w:rsidRPr="00B51D1F" w:rsidRDefault="002A162A" w:rsidP="00975117">
            <w:pPr>
              <w:rPr>
                <w:rFonts w:ascii="Arial" w:hAnsi="Arial" w:cs="Arial"/>
                <w:b/>
                <w:color w:val="FFFFFF" w:themeColor="background1"/>
              </w:rPr>
            </w:pPr>
            <w:r>
              <w:rPr>
                <w:rFonts w:ascii="Arial" w:hAnsi="Arial" w:cs="Arial"/>
                <w:b/>
                <w:color w:val="FFFFFF" w:themeColor="background1"/>
              </w:rPr>
              <w:t>Intervenors</w:t>
            </w:r>
          </w:p>
        </w:tc>
        <w:tc>
          <w:tcPr>
            <w:tcW w:w="7650" w:type="dxa"/>
          </w:tcPr>
          <w:p w14:paraId="2DA762EE" w14:textId="77777777" w:rsidR="002A162A" w:rsidRPr="00B51D1F" w:rsidRDefault="004F15A0" w:rsidP="00B24014">
            <w:pPr>
              <w:rPr>
                <w:rFonts w:ascii="Arial" w:hAnsi="Arial" w:cs="Arial"/>
              </w:rPr>
            </w:pPr>
            <w:r>
              <w:rPr>
                <w:rFonts w:ascii="Arial" w:hAnsi="Arial" w:cs="Arial"/>
              </w:rPr>
              <w:t>Sierra Club form letters via “customer” position statements</w:t>
            </w:r>
          </w:p>
        </w:tc>
      </w:tr>
      <w:tr w:rsidR="002A162A" w:rsidRPr="00B51D1F" w14:paraId="701AE3F5" w14:textId="77777777" w:rsidTr="00975117">
        <w:trPr>
          <w:trHeight w:val="263"/>
        </w:trPr>
        <w:tc>
          <w:tcPr>
            <w:tcW w:w="9895" w:type="dxa"/>
            <w:gridSpan w:val="2"/>
            <w:shd w:val="clear" w:color="auto" w:fill="1F4E79" w:themeFill="accent1" w:themeFillShade="80"/>
          </w:tcPr>
          <w:p w14:paraId="39C5B0C2" w14:textId="77777777" w:rsidR="002A162A" w:rsidRPr="00B51D1F" w:rsidRDefault="002A162A" w:rsidP="00975117">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2A162A" w:rsidRPr="00B51D1F" w14:paraId="012424D4" w14:textId="77777777" w:rsidTr="00975117">
        <w:trPr>
          <w:trHeight w:val="263"/>
        </w:trPr>
        <w:tc>
          <w:tcPr>
            <w:tcW w:w="9895" w:type="dxa"/>
            <w:gridSpan w:val="2"/>
            <w:shd w:val="clear" w:color="auto" w:fill="FFFFFF" w:themeFill="background1"/>
          </w:tcPr>
          <w:p w14:paraId="52A813E8" w14:textId="77777777" w:rsidR="004F15A0" w:rsidRDefault="004F15A0" w:rsidP="004F15A0">
            <w:pPr>
              <w:contextualSpacing/>
              <w:rPr>
                <w:rFonts w:ascii="Arial" w:eastAsia="Calibri" w:hAnsi="Arial" w:cs="Arial"/>
                <w:bCs/>
              </w:rPr>
            </w:pPr>
            <w:r w:rsidRPr="008E35D7">
              <w:rPr>
                <w:rFonts w:ascii="Arial" w:eastAsia="Calibri" w:hAnsi="Arial" w:cs="Arial"/>
                <w:bCs/>
              </w:rPr>
              <w:t>The North Carolina Utilities Commission on Oct. 31 approved a settlement agreement authorizing Piedmont Natural Gas Co. Inc</w:t>
            </w:r>
            <w:r>
              <w:rPr>
                <w:rFonts w:ascii="Arial" w:eastAsia="Calibri" w:hAnsi="Arial" w:cs="Arial"/>
                <w:bCs/>
              </w:rPr>
              <w:t xml:space="preserve">. </w:t>
            </w:r>
            <w:r w:rsidRPr="008E35D7">
              <w:rPr>
                <w:rFonts w:ascii="Arial" w:eastAsia="Calibri" w:hAnsi="Arial" w:cs="Arial"/>
                <w:bCs/>
              </w:rPr>
              <w:t>a gas base rate increase of $28.1 million effective Nov. 1, 2019 with subsequent annual increases cumulative to a total of $82.8 million effective Nov. 1, 2022.</w:t>
            </w:r>
          </w:p>
          <w:p w14:paraId="15108652" w14:textId="77777777" w:rsidR="004F15A0" w:rsidRPr="008E35D7" w:rsidRDefault="004F15A0" w:rsidP="004F15A0">
            <w:pPr>
              <w:contextualSpacing/>
              <w:rPr>
                <w:rFonts w:ascii="Arial" w:eastAsia="Calibri" w:hAnsi="Arial" w:cs="Arial"/>
                <w:bCs/>
              </w:rPr>
            </w:pPr>
          </w:p>
          <w:p w14:paraId="35FDC5DE" w14:textId="056EDDC9" w:rsidR="004F15A0" w:rsidRDefault="004F15A0" w:rsidP="004F15A0">
            <w:pPr>
              <w:contextualSpacing/>
              <w:rPr>
                <w:rFonts w:ascii="Arial" w:eastAsia="Calibri" w:hAnsi="Arial" w:cs="Arial"/>
                <w:bCs/>
              </w:rPr>
            </w:pPr>
            <w:r w:rsidRPr="008E35D7">
              <w:rPr>
                <w:rFonts w:ascii="Arial" w:eastAsia="Calibri" w:hAnsi="Arial" w:cs="Arial"/>
                <w:bCs/>
              </w:rPr>
              <w:t>Under an order issued, in Docket No. G-9 Sub 743, by the commission, PNG rates are set to increase $28.1 million</w:t>
            </w:r>
            <w:r>
              <w:rPr>
                <w:rFonts w:ascii="Arial" w:eastAsia="Calibri" w:hAnsi="Arial" w:cs="Arial"/>
                <w:bCs/>
              </w:rPr>
              <w:t xml:space="preserve"> </w:t>
            </w:r>
            <w:r w:rsidRPr="008E35D7">
              <w:rPr>
                <w:rFonts w:ascii="Arial" w:eastAsia="Calibri" w:hAnsi="Arial" w:cs="Arial"/>
                <w:bCs/>
              </w:rPr>
              <w:t>beginning Nov. 1, 2019 and will increase an additional $36.7 million effective Nov. 1, 2020 and an additional $18.1 million</w:t>
            </w:r>
            <w:r>
              <w:rPr>
                <w:rFonts w:ascii="Arial" w:eastAsia="Calibri" w:hAnsi="Arial" w:cs="Arial"/>
                <w:bCs/>
              </w:rPr>
              <w:t xml:space="preserve"> </w:t>
            </w:r>
            <w:r w:rsidRPr="008E35D7">
              <w:rPr>
                <w:rFonts w:ascii="Arial" w:eastAsia="Calibri" w:hAnsi="Arial" w:cs="Arial"/>
                <w:bCs/>
              </w:rPr>
              <w:t>on Nov. 1, 2022, for a total of $82.8 million annually, or 9.2% overall.</w:t>
            </w:r>
          </w:p>
          <w:p w14:paraId="639C9376" w14:textId="77777777" w:rsidR="004F15A0" w:rsidRPr="008E35D7" w:rsidRDefault="004F15A0" w:rsidP="004F15A0">
            <w:pPr>
              <w:contextualSpacing/>
              <w:rPr>
                <w:rFonts w:ascii="Arial" w:eastAsia="Calibri" w:hAnsi="Arial" w:cs="Arial"/>
                <w:bCs/>
              </w:rPr>
            </w:pPr>
          </w:p>
          <w:p w14:paraId="08D21074" w14:textId="77777777" w:rsidR="004F15A0" w:rsidRDefault="004F15A0" w:rsidP="004F15A0">
            <w:pPr>
              <w:contextualSpacing/>
              <w:rPr>
                <w:rFonts w:ascii="Arial" w:eastAsia="Calibri" w:hAnsi="Arial" w:cs="Arial"/>
                <w:bCs/>
              </w:rPr>
            </w:pPr>
            <w:r w:rsidRPr="008E35D7">
              <w:rPr>
                <w:rFonts w:ascii="Arial" w:eastAsia="Calibri" w:hAnsi="Arial" w:cs="Arial"/>
                <w:bCs/>
              </w:rPr>
              <w:t xml:space="preserve">The rate increases are calculated after the amortizations of regulatory liabilities associated with the return of tax savings through excess deferred income tax, or EDIT, riders and the deferral of revenues associated with the change in the federal corporate income tax rates. </w:t>
            </w:r>
          </w:p>
          <w:p w14:paraId="7DCDEBE8" w14:textId="77777777" w:rsidR="004F15A0" w:rsidRDefault="004F15A0" w:rsidP="004F15A0">
            <w:pPr>
              <w:contextualSpacing/>
              <w:rPr>
                <w:rFonts w:ascii="Arial" w:eastAsia="Calibri" w:hAnsi="Arial" w:cs="Arial"/>
                <w:bCs/>
              </w:rPr>
            </w:pPr>
          </w:p>
          <w:p w14:paraId="5FE02535" w14:textId="77777777" w:rsidR="004F15A0" w:rsidRDefault="004F15A0" w:rsidP="004F15A0">
            <w:pPr>
              <w:contextualSpacing/>
              <w:rPr>
                <w:rFonts w:ascii="Arial" w:eastAsia="Calibri" w:hAnsi="Arial" w:cs="Arial"/>
                <w:bCs/>
              </w:rPr>
            </w:pPr>
            <w:r w:rsidRPr="00605EAF">
              <w:rPr>
                <w:rFonts w:ascii="Arial" w:eastAsia="Calibri" w:hAnsi="Arial" w:cs="Arial"/>
                <w:bCs/>
              </w:rPr>
              <w:t>The rate increases are premised upon a 9.7% return on equity (52% of capital structure) stipulated in the settlement and a 7.14% overall return on a rate base valued at $3.45 billion for a calendar 2018 test year.</w:t>
            </w:r>
          </w:p>
          <w:p w14:paraId="35003AE5" w14:textId="77777777" w:rsidR="004F15A0" w:rsidRDefault="004F15A0" w:rsidP="004F15A0">
            <w:pPr>
              <w:contextualSpacing/>
              <w:rPr>
                <w:rFonts w:ascii="Arial" w:eastAsia="Calibri" w:hAnsi="Arial" w:cs="Arial"/>
                <w:bCs/>
              </w:rPr>
            </w:pPr>
          </w:p>
          <w:p w14:paraId="64E03875" w14:textId="77777777" w:rsidR="004F15A0" w:rsidRPr="003C2874" w:rsidRDefault="004F15A0" w:rsidP="004F15A0">
            <w:pPr>
              <w:contextualSpacing/>
              <w:rPr>
                <w:rFonts w:ascii="Arial" w:eastAsia="Calibri" w:hAnsi="Arial" w:cs="Arial"/>
                <w:bCs/>
              </w:rPr>
            </w:pPr>
            <w:r w:rsidRPr="005F28C3">
              <w:rPr>
                <w:rFonts w:ascii="Arial" w:eastAsia="Calibri" w:hAnsi="Arial" w:cs="Arial"/>
                <w:bCs/>
              </w:rPr>
              <w:lastRenderedPageBreak/>
              <w:t>The approved stipulation allows continuation of the Integrity Management Rider mechanism and establishes a new Distribution Integrity Management Program deferral mechanism for average annual pretax operations and maintenance expenses.</w:t>
            </w:r>
          </w:p>
          <w:p w14:paraId="08E2D578" w14:textId="77777777" w:rsidR="0001500C" w:rsidRPr="00B51D1F" w:rsidRDefault="0001500C" w:rsidP="004F15A0">
            <w:pPr>
              <w:tabs>
                <w:tab w:val="left" w:pos="240"/>
                <w:tab w:val="center" w:pos="4839"/>
              </w:tabs>
              <w:rPr>
                <w:rFonts w:ascii="Arial" w:hAnsi="Arial" w:cs="Arial"/>
              </w:rPr>
            </w:pPr>
          </w:p>
        </w:tc>
      </w:tr>
      <w:tr w:rsidR="002A162A" w:rsidRPr="000602A6" w14:paraId="04A108BA" w14:textId="77777777" w:rsidTr="00975117">
        <w:trPr>
          <w:trHeight w:val="279"/>
        </w:trPr>
        <w:tc>
          <w:tcPr>
            <w:tcW w:w="9895" w:type="dxa"/>
            <w:gridSpan w:val="2"/>
            <w:shd w:val="clear" w:color="auto" w:fill="1F4E79" w:themeFill="accent1" w:themeFillShade="80"/>
          </w:tcPr>
          <w:p w14:paraId="62A59063" w14:textId="77777777" w:rsidR="002A162A" w:rsidRPr="000602A6" w:rsidRDefault="008A2177" w:rsidP="00975117">
            <w:pPr>
              <w:jc w:val="center"/>
              <w:rPr>
                <w:rFonts w:ascii="Arial" w:hAnsi="Arial" w:cs="Arial"/>
                <w:b/>
                <w:color w:val="FFFFFF" w:themeColor="background1"/>
              </w:rPr>
            </w:pPr>
            <w:r>
              <w:rPr>
                <w:rFonts w:ascii="Arial" w:hAnsi="Arial" w:cs="Arial"/>
                <w:b/>
                <w:color w:val="FFFFFF" w:themeColor="background1"/>
              </w:rPr>
              <w:lastRenderedPageBreak/>
              <w:t>October</w:t>
            </w:r>
            <w:r w:rsidR="002A162A">
              <w:rPr>
                <w:rFonts w:ascii="Arial" w:hAnsi="Arial" w:cs="Arial"/>
                <w:b/>
                <w:color w:val="FFFFFF" w:themeColor="background1"/>
              </w:rPr>
              <w:t xml:space="preserve"> </w:t>
            </w:r>
            <w:r>
              <w:rPr>
                <w:rFonts w:ascii="Arial" w:hAnsi="Arial" w:cs="Arial"/>
                <w:b/>
                <w:color w:val="FFFFFF" w:themeColor="background1"/>
              </w:rPr>
              <w:t>31</w:t>
            </w:r>
            <w:r w:rsidR="002A162A">
              <w:rPr>
                <w:rFonts w:ascii="Arial" w:hAnsi="Arial" w:cs="Arial"/>
                <w:b/>
                <w:color w:val="FFFFFF" w:themeColor="background1"/>
              </w:rPr>
              <w:t>, 2019</w:t>
            </w:r>
          </w:p>
        </w:tc>
      </w:tr>
      <w:tr w:rsidR="002A162A" w:rsidRPr="000602A6" w14:paraId="2483BC07" w14:textId="77777777" w:rsidTr="00975117">
        <w:trPr>
          <w:trHeight w:val="279"/>
        </w:trPr>
        <w:tc>
          <w:tcPr>
            <w:tcW w:w="2245" w:type="dxa"/>
            <w:shd w:val="clear" w:color="auto" w:fill="1F4E79" w:themeFill="accent1" w:themeFillShade="80"/>
          </w:tcPr>
          <w:p w14:paraId="30D86F95"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14:paraId="7A3D80D1" w14:textId="77777777" w:rsidR="002A162A" w:rsidRPr="000602A6" w:rsidRDefault="008A2177" w:rsidP="00975117">
            <w:pPr>
              <w:rPr>
                <w:rFonts w:ascii="Arial" w:hAnsi="Arial" w:cs="Arial"/>
              </w:rPr>
            </w:pPr>
            <w:r>
              <w:rPr>
                <w:rFonts w:ascii="Arial" w:hAnsi="Arial" w:cs="Arial"/>
              </w:rPr>
              <w:t>Wisconsin Public Service Corp.</w:t>
            </w:r>
          </w:p>
        </w:tc>
      </w:tr>
      <w:tr w:rsidR="002A162A" w:rsidRPr="00B51D1F" w14:paraId="792CB293" w14:textId="77777777" w:rsidTr="00975117">
        <w:trPr>
          <w:trHeight w:val="279"/>
        </w:trPr>
        <w:tc>
          <w:tcPr>
            <w:tcW w:w="2245" w:type="dxa"/>
            <w:shd w:val="clear" w:color="auto" w:fill="1F4E79" w:themeFill="accent1" w:themeFillShade="80"/>
          </w:tcPr>
          <w:p w14:paraId="6CD113CF"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14:paraId="2BF1E00A" w14:textId="77777777" w:rsidR="002A162A" w:rsidRPr="00B51D1F" w:rsidRDefault="008A2177" w:rsidP="00975117">
            <w:pPr>
              <w:rPr>
                <w:rFonts w:ascii="Arial" w:hAnsi="Arial" w:cs="Arial"/>
              </w:rPr>
            </w:pPr>
            <w:r>
              <w:rPr>
                <w:rFonts w:ascii="Arial" w:hAnsi="Arial" w:cs="Arial"/>
              </w:rPr>
              <w:t>Wisconsin</w:t>
            </w:r>
          </w:p>
        </w:tc>
      </w:tr>
      <w:tr w:rsidR="002A162A" w:rsidRPr="00B51D1F" w14:paraId="0047500E" w14:textId="77777777" w:rsidTr="00975117">
        <w:trPr>
          <w:trHeight w:val="263"/>
        </w:trPr>
        <w:tc>
          <w:tcPr>
            <w:tcW w:w="2245" w:type="dxa"/>
            <w:shd w:val="clear" w:color="auto" w:fill="1F4E79" w:themeFill="accent1" w:themeFillShade="80"/>
          </w:tcPr>
          <w:p w14:paraId="42CBB487"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14:paraId="1BD97417" w14:textId="77777777" w:rsidR="002A162A" w:rsidRPr="00B51D1F" w:rsidRDefault="00F103A3" w:rsidP="00975117">
            <w:pPr>
              <w:rPr>
                <w:rFonts w:ascii="Arial" w:hAnsi="Arial" w:cs="Arial"/>
                <w:color w:val="0000FF"/>
                <w:u w:val="single"/>
              </w:rPr>
            </w:pPr>
            <w:hyperlink r:id="rId16" w:history="1">
              <w:r w:rsidR="008A2177" w:rsidRPr="00DB52B9">
                <w:rPr>
                  <w:rStyle w:val="Hyperlink"/>
                  <w:rFonts w:ascii="Arial" w:hAnsi="Arial" w:cs="Arial"/>
                </w:rPr>
                <w:t>6690-UR-126</w:t>
              </w:r>
            </w:hyperlink>
          </w:p>
        </w:tc>
      </w:tr>
      <w:tr w:rsidR="002A162A" w:rsidRPr="00416BC2" w14:paraId="718D23F9" w14:textId="77777777" w:rsidTr="00975117">
        <w:trPr>
          <w:trHeight w:val="279"/>
        </w:trPr>
        <w:tc>
          <w:tcPr>
            <w:tcW w:w="2245" w:type="dxa"/>
            <w:shd w:val="clear" w:color="auto" w:fill="1F4E79" w:themeFill="accent1" w:themeFillShade="80"/>
          </w:tcPr>
          <w:p w14:paraId="4AD6D751"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14:paraId="2F0F1B0A" w14:textId="77777777" w:rsidR="002A162A" w:rsidRPr="00416BC2" w:rsidRDefault="008A2177" w:rsidP="00975117">
            <w:pPr>
              <w:rPr>
                <w:rFonts w:ascii="Arial" w:hAnsi="Arial" w:cs="Arial"/>
              </w:rPr>
            </w:pPr>
            <w:r>
              <w:rPr>
                <w:rFonts w:ascii="Arial" w:hAnsi="Arial" w:cs="Arial"/>
              </w:rPr>
              <w:t>$9,600,000</w:t>
            </w:r>
          </w:p>
        </w:tc>
      </w:tr>
      <w:tr w:rsidR="002A162A" w:rsidRPr="00B51D1F" w14:paraId="176B818B" w14:textId="77777777" w:rsidTr="00975117">
        <w:trPr>
          <w:trHeight w:val="263"/>
        </w:trPr>
        <w:tc>
          <w:tcPr>
            <w:tcW w:w="2245" w:type="dxa"/>
            <w:shd w:val="clear" w:color="auto" w:fill="1F4E79" w:themeFill="accent1" w:themeFillShade="80"/>
          </w:tcPr>
          <w:p w14:paraId="4EAA0363"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14:paraId="6B50D796" w14:textId="77777777" w:rsidR="002A162A" w:rsidRPr="00B51D1F" w:rsidRDefault="008A2177" w:rsidP="00975117">
            <w:pPr>
              <w:rPr>
                <w:rFonts w:ascii="Arial" w:hAnsi="Arial" w:cs="Arial"/>
              </w:rPr>
            </w:pPr>
            <w:r>
              <w:rPr>
                <w:rFonts w:ascii="Arial" w:hAnsi="Arial" w:cs="Arial"/>
              </w:rPr>
              <w:t>10%</w:t>
            </w:r>
          </w:p>
        </w:tc>
      </w:tr>
      <w:tr w:rsidR="002A162A" w:rsidRPr="00B51D1F" w14:paraId="774CC550" w14:textId="77777777" w:rsidTr="00975117">
        <w:trPr>
          <w:trHeight w:val="263"/>
        </w:trPr>
        <w:tc>
          <w:tcPr>
            <w:tcW w:w="2245" w:type="dxa"/>
            <w:shd w:val="clear" w:color="auto" w:fill="1F4E79" w:themeFill="accent1" w:themeFillShade="80"/>
          </w:tcPr>
          <w:p w14:paraId="12556247" w14:textId="77777777" w:rsidR="002A162A" w:rsidRPr="00B51D1F" w:rsidRDefault="002A162A" w:rsidP="00975117">
            <w:pPr>
              <w:rPr>
                <w:rFonts w:ascii="Arial" w:hAnsi="Arial" w:cs="Arial"/>
                <w:b/>
                <w:color w:val="FFFFFF" w:themeColor="background1"/>
              </w:rPr>
            </w:pPr>
            <w:r>
              <w:rPr>
                <w:rFonts w:ascii="Arial" w:hAnsi="Arial" w:cs="Arial"/>
                <w:b/>
                <w:color w:val="FFFFFF" w:themeColor="background1"/>
              </w:rPr>
              <w:t>Intervenors</w:t>
            </w:r>
          </w:p>
        </w:tc>
        <w:tc>
          <w:tcPr>
            <w:tcW w:w="7650" w:type="dxa"/>
          </w:tcPr>
          <w:p w14:paraId="70A7FAC8" w14:textId="77777777" w:rsidR="00DB52B9" w:rsidRPr="00B51D1F" w:rsidRDefault="00DB52B9" w:rsidP="00AF4BB1">
            <w:pPr>
              <w:rPr>
                <w:rFonts w:ascii="Arial" w:hAnsi="Arial" w:cs="Arial"/>
              </w:rPr>
            </w:pPr>
            <w:r>
              <w:rPr>
                <w:rFonts w:ascii="Arial" w:hAnsi="Arial" w:cs="Arial"/>
              </w:rPr>
              <w:t>Wisconsin Industrial Energy Group, Walmart, Clean Wisconsin, Roundy’s Supermarkets, Midwest Energy Procurement Solutions, WI Paper Council, Sierra Club, RENEW, Citizens Utility Board</w:t>
            </w:r>
          </w:p>
        </w:tc>
      </w:tr>
      <w:tr w:rsidR="002A162A" w:rsidRPr="00B51D1F" w14:paraId="78B083A4" w14:textId="77777777" w:rsidTr="00975117">
        <w:trPr>
          <w:trHeight w:val="263"/>
        </w:trPr>
        <w:tc>
          <w:tcPr>
            <w:tcW w:w="9895" w:type="dxa"/>
            <w:gridSpan w:val="2"/>
            <w:shd w:val="clear" w:color="auto" w:fill="1F4E79" w:themeFill="accent1" w:themeFillShade="80"/>
          </w:tcPr>
          <w:p w14:paraId="573A753D" w14:textId="77777777" w:rsidR="002A162A" w:rsidRPr="00B51D1F" w:rsidRDefault="002A162A" w:rsidP="00975117">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2A162A" w:rsidRPr="00B51D1F" w14:paraId="656779A3" w14:textId="77777777" w:rsidTr="00975117">
        <w:trPr>
          <w:trHeight w:val="263"/>
        </w:trPr>
        <w:tc>
          <w:tcPr>
            <w:tcW w:w="9895" w:type="dxa"/>
            <w:gridSpan w:val="2"/>
            <w:shd w:val="clear" w:color="auto" w:fill="FFFFFF" w:themeFill="background1"/>
          </w:tcPr>
          <w:p w14:paraId="26B72CA8" w14:textId="77777777" w:rsidR="0010764C" w:rsidRDefault="00DB52B9" w:rsidP="00AF4BB1">
            <w:pPr>
              <w:tabs>
                <w:tab w:val="left" w:pos="240"/>
                <w:tab w:val="center" w:pos="4839"/>
              </w:tabs>
              <w:rPr>
                <w:rFonts w:ascii="Arial" w:hAnsi="Arial" w:cs="Arial"/>
              </w:rPr>
            </w:pPr>
            <w:r>
              <w:rPr>
                <w:rFonts w:ascii="Arial" w:hAnsi="Arial" w:cs="Arial"/>
              </w:rPr>
              <w:t xml:space="preserve">On October 31, </w:t>
            </w:r>
            <w:r w:rsidRPr="00DB52B9">
              <w:rPr>
                <w:rFonts w:ascii="Arial" w:hAnsi="Arial" w:cs="Arial"/>
              </w:rPr>
              <w:t>the PSC approved a $9.6 million increase in gas base rates, reflecting a 10% return on equity (52.5% of capital structure). After the flow-back of tax benefits to ratepayers through a bill credit, WPS gas rates would increase about $4.3 million. The overall return and rate base value were not specified in either of the agreements.</w:t>
            </w:r>
          </w:p>
          <w:p w14:paraId="5C38E918" w14:textId="77777777" w:rsidR="00DB52B9" w:rsidRDefault="00DB52B9" w:rsidP="00AF4BB1">
            <w:pPr>
              <w:tabs>
                <w:tab w:val="left" w:pos="240"/>
                <w:tab w:val="center" w:pos="4839"/>
              </w:tabs>
              <w:rPr>
                <w:rFonts w:ascii="Arial" w:hAnsi="Arial" w:cs="Arial"/>
              </w:rPr>
            </w:pPr>
          </w:p>
          <w:p w14:paraId="0E53232D" w14:textId="77777777" w:rsidR="00DB52B9" w:rsidRDefault="00DB52B9" w:rsidP="00AF4BB1">
            <w:pPr>
              <w:tabs>
                <w:tab w:val="left" w:pos="240"/>
                <w:tab w:val="center" w:pos="4839"/>
              </w:tabs>
              <w:rPr>
                <w:rFonts w:ascii="Arial" w:hAnsi="Arial" w:cs="Arial"/>
              </w:rPr>
            </w:pPr>
            <w:r w:rsidRPr="00DB52B9">
              <w:rPr>
                <w:rFonts w:ascii="Arial" w:hAnsi="Arial" w:cs="Arial"/>
              </w:rPr>
              <w:t xml:space="preserve">The PSC-approved settlement also stipulate that </w:t>
            </w:r>
            <w:r>
              <w:rPr>
                <w:rFonts w:ascii="Arial" w:hAnsi="Arial" w:cs="Arial"/>
              </w:rPr>
              <w:t>WPS</w:t>
            </w:r>
            <w:r w:rsidRPr="00DB52B9">
              <w:rPr>
                <w:rFonts w:ascii="Arial" w:hAnsi="Arial" w:cs="Arial"/>
              </w:rPr>
              <w:t xml:space="preserve"> will be subject to an earnings sharing mechanism where </w:t>
            </w:r>
            <w:r>
              <w:rPr>
                <w:rFonts w:ascii="Arial" w:hAnsi="Arial" w:cs="Arial"/>
              </w:rPr>
              <w:t>it</w:t>
            </w:r>
            <w:r w:rsidRPr="00DB52B9">
              <w:rPr>
                <w:rFonts w:ascii="Arial" w:hAnsi="Arial" w:cs="Arial"/>
              </w:rPr>
              <w:t xml:space="preserve"> would be permitted to retain 100% of earnings for the first 25 basis points of any earnings above its authorized ROE, the next 50 basis points of any earnings above the authorized ROE would be allocated equally to ratepayers and shareholders and 100% of any incremental excess earnings would be allocated to customers.</w:t>
            </w:r>
          </w:p>
          <w:p w14:paraId="26792694" w14:textId="77777777" w:rsidR="001A6B3C" w:rsidRDefault="001A6B3C" w:rsidP="00AF4BB1">
            <w:pPr>
              <w:tabs>
                <w:tab w:val="left" w:pos="240"/>
                <w:tab w:val="center" w:pos="4839"/>
              </w:tabs>
              <w:rPr>
                <w:rFonts w:ascii="Arial" w:hAnsi="Arial" w:cs="Arial"/>
              </w:rPr>
            </w:pPr>
          </w:p>
          <w:p w14:paraId="10C9BC35" w14:textId="77777777" w:rsidR="001A6B3C" w:rsidRDefault="001A6B3C" w:rsidP="001A6B3C">
            <w:pPr>
              <w:tabs>
                <w:tab w:val="left" w:pos="240"/>
                <w:tab w:val="center" w:pos="4839"/>
              </w:tabs>
              <w:rPr>
                <w:rFonts w:ascii="Arial" w:hAnsi="Arial" w:cs="Arial"/>
              </w:rPr>
            </w:pPr>
            <w:r>
              <w:rPr>
                <w:rFonts w:ascii="Arial" w:hAnsi="Arial" w:cs="Arial"/>
              </w:rPr>
              <w:t xml:space="preserve">WPS </w:t>
            </w:r>
            <w:r w:rsidRPr="001A6B3C">
              <w:rPr>
                <w:rFonts w:ascii="Arial" w:hAnsi="Arial" w:cs="Arial"/>
              </w:rPr>
              <w:t>agreed to maintain residential and small commercial electric and natural gas monthly customer fixed charges at currently authorized levels for 2020 and 2021 under the settlements.</w:t>
            </w:r>
          </w:p>
          <w:p w14:paraId="2645F8D3" w14:textId="77777777" w:rsidR="00242A08" w:rsidRPr="00B51D1F" w:rsidRDefault="00242A08" w:rsidP="00242A08">
            <w:pPr>
              <w:tabs>
                <w:tab w:val="left" w:pos="240"/>
                <w:tab w:val="center" w:pos="4839"/>
              </w:tabs>
              <w:rPr>
                <w:rFonts w:ascii="Arial" w:hAnsi="Arial" w:cs="Arial"/>
              </w:rPr>
            </w:pPr>
          </w:p>
        </w:tc>
      </w:tr>
      <w:tr w:rsidR="002A162A" w:rsidRPr="000602A6" w14:paraId="4BEFDD27" w14:textId="77777777" w:rsidTr="00975117">
        <w:trPr>
          <w:trHeight w:val="279"/>
        </w:trPr>
        <w:tc>
          <w:tcPr>
            <w:tcW w:w="9895" w:type="dxa"/>
            <w:gridSpan w:val="2"/>
            <w:shd w:val="clear" w:color="auto" w:fill="1F4E79" w:themeFill="accent1" w:themeFillShade="80"/>
          </w:tcPr>
          <w:p w14:paraId="4DB24AE4" w14:textId="77777777" w:rsidR="002A162A" w:rsidRPr="000602A6" w:rsidRDefault="008A2177" w:rsidP="00975117">
            <w:pPr>
              <w:jc w:val="center"/>
              <w:rPr>
                <w:rFonts w:ascii="Arial" w:hAnsi="Arial" w:cs="Arial"/>
                <w:b/>
                <w:color w:val="FFFFFF" w:themeColor="background1"/>
              </w:rPr>
            </w:pPr>
            <w:r>
              <w:rPr>
                <w:rFonts w:ascii="Arial" w:hAnsi="Arial" w:cs="Arial"/>
                <w:b/>
                <w:color w:val="FFFFFF" w:themeColor="background1"/>
              </w:rPr>
              <w:t>October</w:t>
            </w:r>
            <w:r w:rsidR="002A162A">
              <w:rPr>
                <w:rFonts w:ascii="Arial" w:hAnsi="Arial" w:cs="Arial"/>
                <w:b/>
                <w:color w:val="FFFFFF" w:themeColor="background1"/>
              </w:rPr>
              <w:t xml:space="preserve"> </w:t>
            </w:r>
            <w:r>
              <w:rPr>
                <w:rFonts w:ascii="Arial" w:hAnsi="Arial" w:cs="Arial"/>
                <w:b/>
                <w:color w:val="FFFFFF" w:themeColor="background1"/>
              </w:rPr>
              <w:t>31</w:t>
            </w:r>
            <w:r w:rsidR="002A162A">
              <w:rPr>
                <w:rFonts w:ascii="Arial" w:hAnsi="Arial" w:cs="Arial"/>
                <w:b/>
                <w:color w:val="FFFFFF" w:themeColor="background1"/>
              </w:rPr>
              <w:t>, 2019</w:t>
            </w:r>
          </w:p>
        </w:tc>
      </w:tr>
      <w:tr w:rsidR="002A162A" w:rsidRPr="000602A6" w14:paraId="3E278B30" w14:textId="77777777" w:rsidTr="00975117">
        <w:trPr>
          <w:trHeight w:val="279"/>
        </w:trPr>
        <w:tc>
          <w:tcPr>
            <w:tcW w:w="2245" w:type="dxa"/>
            <w:shd w:val="clear" w:color="auto" w:fill="1F4E79" w:themeFill="accent1" w:themeFillShade="80"/>
          </w:tcPr>
          <w:p w14:paraId="4C03F038"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14:paraId="4E236005" w14:textId="77777777" w:rsidR="002A162A" w:rsidRPr="000602A6" w:rsidRDefault="008A2177" w:rsidP="00975117">
            <w:pPr>
              <w:rPr>
                <w:rFonts w:ascii="Arial" w:hAnsi="Arial" w:cs="Arial"/>
              </w:rPr>
            </w:pPr>
            <w:r>
              <w:rPr>
                <w:rFonts w:ascii="Arial" w:hAnsi="Arial" w:cs="Arial"/>
              </w:rPr>
              <w:t>Wisconsin Electric Power Co.</w:t>
            </w:r>
          </w:p>
        </w:tc>
      </w:tr>
      <w:tr w:rsidR="002A162A" w:rsidRPr="00B51D1F" w14:paraId="0D372B55" w14:textId="77777777" w:rsidTr="00975117">
        <w:trPr>
          <w:trHeight w:val="279"/>
        </w:trPr>
        <w:tc>
          <w:tcPr>
            <w:tcW w:w="2245" w:type="dxa"/>
            <w:shd w:val="clear" w:color="auto" w:fill="1F4E79" w:themeFill="accent1" w:themeFillShade="80"/>
          </w:tcPr>
          <w:p w14:paraId="0E139572"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14:paraId="2058E433" w14:textId="77777777" w:rsidR="002A162A" w:rsidRPr="00B51D1F" w:rsidRDefault="008A2177" w:rsidP="00975117">
            <w:pPr>
              <w:rPr>
                <w:rFonts w:ascii="Arial" w:hAnsi="Arial" w:cs="Arial"/>
              </w:rPr>
            </w:pPr>
            <w:r>
              <w:rPr>
                <w:rFonts w:ascii="Arial" w:hAnsi="Arial" w:cs="Arial"/>
              </w:rPr>
              <w:t>Wisconsin</w:t>
            </w:r>
          </w:p>
        </w:tc>
      </w:tr>
      <w:tr w:rsidR="002A162A" w:rsidRPr="00B51D1F" w14:paraId="65C60DCB" w14:textId="77777777" w:rsidTr="00975117">
        <w:trPr>
          <w:trHeight w:val="263"/>
        </w:trPr>
        <w:tc>
          <w:tcPr>
            <w:tcW w:w="2245" w:type="dxa"/>
            <w:shd w:val="clear" w:color="auto" w:fill="1F4E79" w:themeFill="accent1" w:themeFillShade="80"/>
          </w:tcPr>
          <w:p w14:paraId="18861534"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14:paraId="6AE81DA4" w14:textId="77777777" w:rsidR="002A162A" w:rsidRPr="00B51D1F" w:rsidRDefault="00F103A3" w:rsidP="00975117">
            <w:pPr>
              <w:rPr>
                <w:rFonts w:ascii="Arial" w:hAnsi="Arial" w:cs="Arial"/>
                <w:color w:val="0000FF"/>
                <w:u w:val="single"/>
              </w:rPr>
            </w:pPr>
            <w:hyperlink r:id="rId17" w:history="1">
              <w:r w:rsidR="00DB52B9" w:rsidRPr="008B2344">
                <w:rPr>
                  <w:rStyle w:val="Hyperlink"/>
                  <w:rFonts w:ascii="Arial" w:hAnsi="Arial" w:cs="Arial"/>
                </w:rPr>
                <w:t>05-UR-109</w:t>
              </w:r>
            </w:hyperlink>
          </w:p>
        </w:tc>
      </w:tr>
      <w:tr w:rsidR="002A162A" w:rsidRPr="00416BC2" w14:paraId="0D07CCFF" w14:textId="77777777" w:rsidTr="00975117">
        <w:trPr>
          <w:trHeight w:val="279"/>
        </w:trPr>
        <w:tc>
          <w:tcPr>
            <w:tcW w:w="2245" w:type="dxa"/>
            <w:shd w:val="clear" w:color="auto" w:fill="1F4E79" w:themeFill="accent1" w:themeFillShade="80"/>
          </w:tcPr>
          <w:p w14:paraId="7A0C1044"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14:paraId="3BD8F3A5" w14:textId="77777777" w:rsidR="002A162A" w:rsidRPr="00416BC2" w:rsidRDefault="00DB52B9" w:rsidP="00975117">
            <w:pPr>
              <w:rPr>
                <w:rFonts w:ascii="Arial" w:hAnsi="Arial" w:cs="Arial"/>
              </w:rPr>
            </w:pPr>
            <w:r>
              <w:rPr>
                <w:rFonts w:ascii="Arial" w:hAnsi="Arial" w:cs="Arial"/>
              </w:rPr>
              <w:t>$6,000,000</w:t>
            </w:r>
          </w:p>
        </w:tc>
      </w:tr>
      <w:tr w:rsidR="002A162A" w:rsidRPr="00B51D1F" w14:paraId="0E3F1C47" w14:textId="77777777" w:rsidTr="00975117">
        <w:trPr>
          <w:trHeight w:val="263"/>
        </w:trPr>
        <w:tc>
          <w:tcPr>
            <w:tcW w:w="2245" w:type="dxa"/>
            <w:shd w:val="clear" w:color="auto" w:fill="1F4E79" w:themeFill="accent1" w:themeFillShade="80"/>
          </w:tcPr>
          <w:p w14:paraId="7F50141F"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14:paraId="3E20E006" w14:textId="77777777" w:rsidR="002A162A" w:rsidRPr="00B51D1F" w:rsidRDefault="00600E09" w:rsidP="00975117">
            <w:pPr>
              <w:rPr>
                <w:rFonts w:ascii="Arial" w:hAnsi="Arial" w:cs="Arial"/>
              </w:rPr>
            </w:pPr>
            <w:r>
              <w:rPr>
                <w:rFonts w:ascii="Arial" w:hAnsi="Arial" w:cs="Arial"/>
              </w:rPr>
              <w:t>10</w:t>
            </w:r>
            <w:r w:rsidR="008A2177">
              <w:rPr>
                <w:rFonts w:ascii="Arial" w:hAnsi="Arial" w:cs="Arial"/>
              </w:rPr>
              <w:t>%</w:t>
            </w:r>
          </w:p>
        </w:tc>
      </w:tr>
      <w:tr w:rsidR="002A162A" w:rsidRPr="00B51D1F" w14:paraId="69A4198F" w14:textId="77777777" w:rsidTr="00975117">
        <w:trPr>
          <w:trHeight w:val="263"/>
        </w:trPr>
        <w:tc>
          <w:tcPr>
            <w:tcW w:w="2245" w:type="dxa"/>
            <w:shd w:val="clear" w:color="auto" w:fill="1F4E79" w:themeFill="accent1" w:themeFillShade="80"/>
          </w:tcPr>
          <w:p w14:paraId="262C77F5" w14:textId="77777777" w:rsidR="002A162A" w:rsidRPr="00B51D1F" w:rsidRDefault="002A162A" w:rsidP="00975117">
            <w:pPr>
              <w:rPr>
                <w:rFonts w:ascii="Arial" w:hAnsi="Arial" w:cs="Arial"/>
                <w:b/>
                <w:color w:val="FFFFFF" w:themeColor="background1"/>
              </w:rPr>
            </w:pPr>
            <w:r>
              <w:rPr>
                <w:rFonts w:ascii="Arial" w:hAnsi="Arial" w:cs="Arial"/>
                <w:b/>
                <w:color w:val="FFFFFF" w:themeColor="background1"/>
              </w:rPr>
              <w:t>Intervenors</w:t>
            </w:r>
          </w:p>
        </w:tc>
        <w:tc>
          <w:tcPr>
            <w:tcW w:w="7650" w:type="dxa"/>
          </w:tcPr>
          <w:p w14:paraId="1302B345" w14:textId="77777777" w:rsidR="002A162A" w:rsidRPr="00B51D1F" w:rsidRDefault="008B2344" w:rsidP="00975117">
            <w:pPr>
              <w:rPr>
                <w:rFonts w:ascii="Arial" w:hAnsi="Arial" w:cs="Arial"/>
              </w:rPr>
            </w:pPr>
            <w:r>
              <w:rPr>
                <w:rFonts w:ascii="Arial" w:hAnsi="Arial" w:cs="Arial"/>
              </w:rPr>
              <w:t xml:space="preserve">Aurora Health Care, Roundy’s, Environmental Law &amp; Policy Center, Vote Solar, Solar Energy Industries Association, Milwaukee Metropolitan Sewerage District, Charter Steel, City of Milwaukee, </w:t>
            </w:r>
            <w:r w:rsidRPr="008B2344">
              <w:rPr>
                <w:rFonts w:ascii="Arial" w:hAnsi="Arial" w:cs="Arial"/>
              </w:rPr>
              <w:t>Wisconsin Industrial Energy Group</w:t>
            </w:r>
            <w:r>
              <w:rPr>
                <w:rFonts w:ascii="Arial" w:hAnsi="Arial" w:cs="Arial"/>
              </w:rPr>
              <w:t xml:space="preserve">, Walmart, </w:t>
            </w:r>
            <w:r w:rsidRPr="008B2344">
              <w:rPr>
                <w:rFonts w:ascii="Arial" w:hAnsi="Arial" w:cs="Arial"/>
              </w:rPr>
              <w:t>Midwest Energy Procurement Solutions, WI Paper Council, Sierra Club, RENEW, Citizens Utility Board</w:t>
            </w:r>
          </w:p>
        </w:tc>
      </w:tr>
      <w:tr w:rsidR="002A162A" w:rsidRPr="00B51D1F" w14:paraId="4DBD3450" w14:textId="77777777" w:rsidTr="00975117">
        <w:trPr>
          <w:trHeight w:val="263"/>
        </w:trPr>
        <w:tc>
          <w:tcPr>
            <w:tcW w:w="9895" w:type="dxa"/>
            <w:gridSpan w:val="2"/>
            <w:shd w:val="clear" w:color="auto" w:fill="1F4E79" w:themeFill="accent1" w:themeFillShade="80"/>
          </w:tcPr>
          <w:p w14:paraId="57756554" w14:textId="77777777" w:rsidR="002A162A" w:rsidRPr="00B51D1F" w:rsidRDefault="002A162A" w:rsidP="00975117">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2A162A" w:rsidRPr="00B51D1F" w14:paraId="13FE9328" w14:textId="77777777" w:rsidTr="00975117">
        <w:trPr>
          <w:trHeight w:val="263"/>
        </w:trPr>
        <w:tc>
          <w:tcPr>
            <w:tcW w:w="9895" w:type="dxa"/>
            <w:gridSpan w:val="2"/>
            <w:shd w:val="clear" w:color="auto" w:fill="FFFFFF" w:themeFill="background1"/>
          </w:tcPr>
          <w:p w14:paraId="6E8CB102" w14:textId="77777777" w:rsidR="00303AE0" w:rsidRDefault="00304256" w:rsidP="003E1F66">
            <w:pPr>
              <w:tabs>
                <w:tab w:val="left" w:pos="240"/>
                <w:tab w:val="center" w:pos="4839"/>
              </w:tabs>
              <w:rPr>
                <w:rFonts w:ascii="Arial" w:hAnsi="Arial" w:cs="Arial"/>
              </w:rPr>
            </w:pPr>
            <w:r>
              <w:rPr>
                <w:rFonts w:ascii="Arial" w:hAnsi="Arial" w:cs="Arial"/>
              </w:rPr>
              <w:t xml:space="preserve">On October 31 the </w:t>
            </w:r>
            <w:r w:rsidRPr="00304256">
              <w:rPr>
                <w:rFonts w:ascii="Arial" w:hAnsi="Arial" w:cs="Arial"/>
              </w:rPr>
              <w:t>Public Service Commission of Wisconsin</w:t>
            </w:r>
            <w:r>
              <w:rPr>
                <w:rFonts w:ascii="Arial" w:hAnsi="Arial" w:cs="Arial"/>
              </w:rPr>
              <w:t xml:space="preserve"> approved the rate settlement for WEPCO’s gas utility. </w:t>
            </w:r>
            <w:r w:rsidRPr="00304256">
              <w:rPr>
                <w:rFonts w:ascii="Arial" w:hAnsi="Arial" w:cs="Arial"/>
              </w:rPr>
              <w:t xml:space="preserve">the settlement provides for an increase in gas base rates of $6 million, or 1.6%, also premised upon a 10% return on equity (52.5% of capital structure). </w:t>
            </w:r>
          </w:p>
          <w:p w14:paraId="266F92AA" w14:textId="77777777" w:rsidR="00303AE0" w:rsidRDefault="00303AE0" w:rsidP="003E1F66">
            <w:pPr>
              <w:tabs>
                <w:tab w:val="left" w:pos="240"/>
                <w:tab w:val="center" w:pos="4839"/>
              </w:tabs>
              <w:rPr>
                <w:rFonts w:ascii="Arial" w:hAnsi="Arial" w:cs="Arial"/>
              </w:rPr>
            </w:pPr>
          </w:p>
          <w:p w14:paraId="215A3DD4" w14:textId="77777777" w:rsidR="00304256" w:rsidRDefault="00304256" w:rsidP="00304256">
            <w:pPr>
              <w:tabs>
                <w:tab w:val="left" w:pos="240"/>
                <w:tab w:val="center" w:pos="4839"/>
              </w:tabs>
              <w:rPr>
                <w:rFonts w:ascii="Arial" w:hAnsi="Arial" w:cs="Arial"/>
              </w:rPr>
            </w:pPr>
            <w:r w:rsidRPr="00DB52B9">
              <w:rPr>
                <w:rFonts w:ascii="Arial" w:hAnsi="Arial" w:cs="Arial"/>
              </w:rPr>
              <w:lastRenderedPageBreak/>
              <w:t xml:space="preserve">The PSC-approved settlement also stipulate that </w:t>
            </w:r>
            <w:r>
              <w:rPr>
                <w:rFonts w:ascii="Arial" w:hAnsi="Arial" w:cs="Arial"/>
              </w:rPr>
              <w:t>WEPCO</w:t>
            </w:r>
            <w:r w:rsidRPr="00DB52B9">
              <w:rPr>
                <w:rFonts w:ascii="Arial" w:hAnsi="Arial" w:cs="Arial"/>
              </w:rPr>
              <w:t xml:space="preserve"> will be subject to an earnings sharing mechanism where </w:t>
            </w:r>
            <w:r>
              <w:rPr>
                <w:rFonts w:ascii="Arial" w:hAnsi="Arial" w:cs="Arial"/>
              </w:rPr>
              <w:t>it</w:t>
            </w:r>
            <w:r w:rsidRPr="00DB52B9">
              <w:rPr>
                <w:rFonts w:ascii="Arial" w:hAnsi="Arial" w:cs="Arial"/>
              </w:rPr>
              <w:t xml:space="preserve"> would be permitted to retain 100% of earnings for the first 25 basis points of any earnings above its authorized ROE, the next 50 basis points of any earnings above the authorized ROE would be allocated equally to ratepayers and shareholders and 100% of any incremental excess earnings would be allocated to customers.</w:t>
            </w:r>
          </w:p>
          <w:p w14:paraId="1E02BF17" w14:textId="77777777" w:rsidR="00303AE0" w:rsidRDefault="00303AE0" w:rsidP="003E1F66">
            <w:pPr>
              <w:tabs>
                <w:tab w:val="left" w:pos="240"/>
                <w:tab w:val="center" w:pos="4839"/>
              </w:tabs>
              <w:rPr>
                <w:rFonts w:ascii="Arial" w:hAnsi="Arial" w:cs="Arial"/>
              </w:rPr>
            </w:pPr>
          </w:p>
          <w:p w14:paraId="6A699D5C" w14:textId="77777777" w:rsidR="001A6B3C" w:rsidRDefault="001A6B3C" w:rsidP="003E1F66">
            <w:pPr>
              <w:tabs>
                <w:tab w:val="left" w:pos="240"/>
                <w:tab w:val="center" w:pos="4839"/>
              </w:tabs>
              <w:rPr>
                <w:rFonts w:ascii="Arial" w:hAnsi="Arial" w:cs="Arial"/>
              </w:rPr>
            </w:pPr>
            <w:r>
              <w:rPr>
                <w:rFonts w:ascii="Arial" w:hAnsi="Arial" w:cs="Arial"/>
              </w:rPr>
              <w:t xml:space="preserve">WEPCO </w:t>
            </w:r>
            <w:r w:rsidRPr="001A6B3C">
              <w:rPr>
                <w:rFonts w:ascii="Arial" w:hAnsi="Arial" w:cs="Arial"/>
              </w:rPr>
              <w:t>agreed to maintain residential and small commercial electric and natural gas monthly customer fixed charges at currently authorized levels for 2020 and 2021 under the settlements.</w:t>
            </w:r>
          </w:p>
          <w:p w14:paraId="70C6C19D" w14:textId="77777777" w:rsidR="00600E09" w:rsidRPr="00B51D1F" w:rsidRDefault="00600E09" w:rsidP="003E1F66">
            <w:pPr>
              <w:tabs>
                <w:tab w:val="left" w:pos="240"/>
                <w:tab w:val="center" w:pos="4839"/>
              </w:tabs>
              <w:rPr>
                <w:rFonts w:ascii="Arial" w:hAnsi="Arial" w:cs="Arial"/>
              </w:rPr>
            </w:pPr>
          </w:p>
        </w:tc>
      </w:tr>
      <w:tr w:rsidR="002A162A" w:rsidRPr="000602A6" w14:paraId="0BD41A92" w14:textId="77777777" w:rsidTr="00975117">
        <w:trPr>
          <w:trHeight w:val="279"/>
        </w:trPr>
        <w:tc>
          <w:tcPr>
            <w:tcW w:w="9895" w:type="dxa"/>
            <w:gridSpan w:val="2"/>
            <w:shd w:val="clear" w:color="auto" w:fill="1F4E79" w:themeFill="accent1" w:themeFillShade="80"/>
          </w:tcPr>
          <w:p w14:paraId="28602765" w14:textId="77777777" w:rsidR="002A162A" w:rsidRPr="000602A6" w:rsidRDefault="008A2177" w:rsidP="00975117">
            <w:pPr>
              <w:jc w:val="center"/>
              <w:rPr>
                <w:rFonts w:ascii="Arial" w:hAnsi="Arial" w:cs="Arial"/>
                <w:b/>
                <w:color w:val="FFFFFF" w:themeColor="background1"/>
              </w:rPr>
            </w:pPr>
            <w:r>
              <w:rPr>
                <w:rFonts w:ascii="Arial" w:hAnsi="Arial" w:cs="Arial"/>
                <w:b/>
                <w:color w:val="FFFFFF" w:themeColor="background1"/>
              </w:rPr>
              <w:lastRenderedPageBreak/>
              <w:t>October</w:t>
            </w:r>
            <w:r w:rsidR="002A162A">
              <w:rPr>
                <w:rFonts w:ascii="Arial" w:hAnsi="Arial" w:cs="Arial"/>
                <w:b/>
                <w:color w:val="FFFFFF" w:themeColor="background1"/>
              </w:rPr>
              <w:t xml:space="preserve"> </w:t>
            </w:r>
            <w:r>
              <w:rPr>
                <w:rFonts w:ascii="Arial" w:hAnsi="Arial" w:cs="Arial"/>
                <w:b/>
                <w:color w:val="FFFFFF" w:themeColor="background1"/>
              </w:rPr>
              <w:t>31</w:t>
            </w:r>
            <w:r w:rsidR="002A162A">
              <w:rPr>
                <w:rFonts w:ascii="Arial" w:hAnsi="Arial" w:cs="Arial"/>
                <w:b/>
                <w:color w:val="FFFFFF" w:themeColor="background1"/>
              </w:rPr>
              <w:t>, 2019</w:t>
            </w:r>
          </w:p>
        </w:tc>
      </w:tr>
      <w:tr w:rsidR="002A162A" w:rsidRPr="000602A6" w14:paraId="0ABA0E2E" w14:textId="77777777" w:rsidTr="00975117">
        <w:trPr>
          <w:trHeight w:val="279"/>
        </w:trPr>
        <w:tc>
          <w:tcPr>
            <w:tcW w:w="2245" w:type="dxa"/>
            <w:shd w:val="clear" w:color="auto" w:fill="1F4E79" w:themeFill="accent1" w:themeFillShade="80"/>
          </w:tcPr>
          <w:p w14:paraId="630C1473"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14:paraId="61796F92" w14:textId="77777777" w:rsidR="002A162A" w:rsidRPr="000602A6" w:rsidRDefault="008A2177" w:rsidP="00975117">
            <w:pPr>
              <w:rPr>
                <w:rFonts w:ascii="Arial" w:hAnsi="Arial" w:cs="Arial"/>
              </w:rPr>
            </w:pPr>
            <w:r>
              <w:rPr>
                <w:rFonts w:ascii="Arial" w:hAnsi="Arial" w:cs="Arial"/>
              </w:rPr>
              <w:t>Wisconsin Gas LLC</w:t>
            </w:r>
          </w:p>
        </w:tc>
      </w:tr>
      <w:tr w:rsidR="002A162A" w:rsidRPr="00B51D1F" w14:paraId="704B89CE" w14:textId="77777777" w:rsidTr="00975117">
        <w:trPr>
          <w:trHeight w:val="279"/>
        </w:trPr>
        <w:tc>
          <w:tcPr>
            <w:tcW w:w="2245" w:type="dxa"/>
            <w:shd w:val="clear" w:color="auto" w:fill="1F4E79" w:themeFill="accent1" w:themeFillShade="80"/>
          </w:tcPr>
          <w:p w14:paraId="1EBEC1E5"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14:paraId="17213719" w14:textId="77777777" w:rsidR="002A162A" w:rsidRPr="00B51D1F" w:rsidRDefault="00DB52B9" w:rsidP="00975117">
            <w:pPr>
              <w:rPr>
                <w:rFonts w:ascii="Arial" w:hAnsi="Arial" w:cs="Arial"/>
              </w:rPr>
            </w:pPr>
            <w:r>
              <w:rPr>
                <w:rFonts w:ascii="Arial" w:hAnsi="Arial" w:cs="Arial"/>
              </w:rPr>
              <w:t>Wisconsin</w:t>
            </w:r>
          </w:p>
        </w:tc>
      </w:tr>
      <w:tr w:rsidR="002A162A" w:rsidRPr="00B51D1F" w14:paraId="518013B5" w14:textId="77777777" w:rsidTr="00975117">
        <w:trPr>
          <w:trHeight w:val="263"/>
        </w:trPr>
        <w:tc>
          <w:tcPr>
            <w:tcW w:w="2245" w:type="dxa"/>
            <w:shd w:val="clear" w:color="auto" w:fill="1F4E79" w:themeFill="accent1" w:themeFillShade="80"/>
          </w:tcPr>
          <w:p w14:paraId="1CF287DE"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14:paraId="1F531602" w14:textId="77777777" w:rsidR="002A162A" w:rsidRPr="00B51D1F" w:rsidRDefault="00F103A3" w:rsidP="00975117">
            <w:pPr>
              <w:rPr>
                <w:rFonts w:ascii="Arial" w:hAnsi="Arial" w:cs="Arial"/>
                <w:color w:val="0000FF"/>
                <w:u w:val="single"/>
              </w:rPr>
            </w:pPr>
            <w:hyperlink r:id="rId18" w:history="1">
              <w:r w:rsidR="00DB52B9" w:rsidRPr="008B2344">
                <w:rPr>
                  <w:rStyle w:val="Hyperlink"/>
                  <w:rFonts w:ascii="Arial" w:hAnsi="Arial" w:cs="Arial"/>
                </w:rPr>
                <w:t>05-UR-109</w:t>
              </w:r>
            </w:hyperlink>
          </w:p>
        </w:tc>
      </w:tr>
      <w:tr w:rsidR="002A162A" w:rsidRPr="00416BC2" w14:paraId="13AFBCD0" w14:textId="77777777" w:rsidTr="00975117">
        <w:trPr>
          <w:trHeight w:val="279"/>
        </w:trPr>
        <w:tc>
          <w:tcPr>
            <w:tcW w:w="2245" w:type="dxa"/>
            <w:shd w:val="clear" w:color="auto" w:fill="1F4E79" w:themeFill="accent1" w:themeFillShade="80"/>
          </w:tcPr>
          <w:p w14:paraId="3980DD72"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14:paraId="1FBC3E53" w14:textId="77777777" w:rsidR="002A162A" w:rsidRPr="00416BC2" w:rsidRDefault="00DB52B9" w:rsidP="00975117">
            <w:pPr>
              <w:rPr>
                <w:rFonts w:ascii="Arial" w:hAnsi="Arial" w:cs="Arial"/>
              </w:rPr>
            </w:pPr>
            <w:r>
              <w:rPr>
                <w:rFonts w:ascii="Arial" w:hAnsi="Arial" w:cs="Arial"/>
              </w:rPr>
              <w:t>$1,400,000</w:t>
            </w:r>
          </w:p>
        </w:tc>
      </w:tr>
      <w:tr w:rsidR="002A162A" w:rsidRPr="00B51D1F" w14:paraId="1D2487A8" w14:textId="77777777" w:rsidTr="00975117">
        <w:trPr>
          <w:trHeight w:val="263"/>
        </w:trPr>
        <w:tc>
          <w:tcPr>
            <w:tcW w:w="2245" w:type="dxa"/>
            <w:shd w:val="clear" w:color="auto" w:fill="1F4E79" w:themeFill="accent1" w:themeFillShade="80"/>
          </w:tcPr>
          <w:p w14:paraId="57EB360D"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14:paraId="75857D4A" w14:textId="77777777" w:rsidR="002A162A" w:rsidRPr="00B51D1F" w:rsidRDefault="00600E09" w:rsidP="00975117">
            <w:pPr>
              <w:rPr>
                <w:rFonts w:ascii="Arial" w:hAnsi="Arial" w:cs="Arial"/>
              </w:rPr>
            </w:pPr>
            <w:r>
              <w:rPr>
                <w:rFonts w:ascii="Arial" w:hAnsi="Arial" w:cs="Arial"/>
              </w:rPr>
              <w:t>10</w:t>
            </w:r>
            <w:r w:rsidR="008A2177">
              <w:rPr>
                <w:rFonts w:ascii="Arial" w:hAnsi="Arial" w:cs="Arial"/>
              </w:rPr>
              <w:t>.2%</w:t>
            </w:r>
          </w:p>
        </w:tc>
      </w:tr>
      <w:tr w:rsidR="002A162A" w:rsidRPr="00B51D1F" w14:paraId="53329082" w14:textId="77777777" w:rsidTr="00975117">
        <w:trPr>
          <w:trHeight w:val="263"/>
        </w:trPr>
        <w:tc>
          <w:tcPr>
            <w:tcW w:w="2245" w:type="dxa"/>
            <w:shd w:val="clear" w:color="auto" w:fill="1F4E79" w:themeFill="accent1" w:themeFillShade="80"/>
          </w:tcPr>
          <w:p w14:paraId="1D74F09B" w14:textId="77777777" w:rsidR="002A162A" w:rsidRPr="00B51D1F" w:rsidRDefault="002A162A" w:rsidP="00975117">
            <w:pPr>
              <w:rPr>
                <w:rFonts w:ascii="Arial" w:hAnsi="Arial" w:cs="Arial"/>
                <w:b/>
                <w:color w:val="FFFFFF" w:themeColor="background1"/>
              </w:rPr>
            </w:pPr>
            <w:r>
              <w:rPr>
                <w:rFonts w:ascii="Arial" w:hAnsi="Arial" w:cs="Arial"/>
                <w:b/>
                <w:color w:val="FFFFFF" w:themeColor="background1"/>
              </w:rPr>
              <w:t>Intervenors</w:t>
            </w:r>
          </w:p>
        </w:tc>
        <w:tc>
          <w:tcPr>
            <w:tcW w:w="7650" w:type="dxa"/>
          </w:tcPr>
          <w:p w14:paraId="2A3F231B" w14:textId="77777777" w:rsidR="002A162A" w:rsidRPr="00B51D1F" w:rsidRDefault="008B2344" w:rsidP="00975117">
            <w:pPr>
              <w:rPr>
                <w:rFonts w:ascii="Arial" w:hAnsi="Arial" w:cs="Arial"/>
              </w:rPr>
            </w:pPr>
            <w:r w:rsidRPr="008B2344">
              <w:rPr>
                <w:rFonts w:ascii="Arial" w:hAnsi="Arial" w:cs="Arial"/>
              </w:rPr>
              <w:t>Aurora Health Care, Roundy’s, Environmental Law &amp; Policy Center, Vote Solar, Solar Energy Industries Association, Milwaukee Metropolitan Sewerage District, Charter Steel, City of Milwaukee, Wisconsin Industrial Energy Group, Walmart, Midwest Energy Procurement Solutions, WI Paper Council, Sierra Club, RENEW, Citizens Utility Board</w:t>
            </w:r>
          </w:p>
        </w:tc>
      </w:tr>
      <w:tr w:rsidR="002A162A" w:rsidRPr="00B51D1F" w14:paraId="5B8316EC" w14:textId="77777777" w:rsidTr="00975117">
        <w:trPr>
          <w:trHeight w:val="263"/>
        </w:trPr>
        <w:tc>
          <w:tcPr>
            <w:tcW w:w="9895" w:type="dxa"/>
            <w:gridSpan w:val="2"/>
            <w:shd w:val="clear" w:color="auto" w:fill="1F4E79" w:themeFill="accent1" w:themeFillShade="80"/>
          </w:tcPr>
          <w:p w14:paraId="55DEB2ED" w14:textId="77777777" w:rsidR="002A162A" w:rsidRPr="00B51D1F" w:rsidRDefault="002A162A" w:rsidP="00975117">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2A162A" w:rsidRPr="00B51D1F" w14:paraId="5761FCB7" w14:textId="77777777" w:rsidTr="00975117">
        <w:trPr>
          <w:trHeight w:val="263"/>
        </w:trPr>
        <w:tc>
          <w:tcPr>
            <w:tcW w:w="9895" w:type="dxa"/>
            <w:gridSpan w:val="2"/>
            <w:shd w:val="clear" w:color="auto" w:fill="FFFFFF" w:themeFill="background1"/>
          </w:tcPr>
          <w:p w14:paraId="4F1339FE" w14:textId="77777777" w:rsidR="002A162A" w:rsidRDefault="001A6B3C" w:rsidP="001A6B3C">
            <w:pPr>
              <w:tabs>
                <w:tab w:val="left" w:pos="240"/>
                <w:tab w:val="center" w:pos="4839"/>
              </w:tabs>
              <w:rPr>
                <w:rFonts w:ascii="Arial" w:hAnsi="Arial" w:cs="Arial"/>
              </w:rPr>
            </w:pPr>
            <w:r w:rsidRPr="001A6B3C">
              <w:rPr>
                <w:rFonts w:ascii="Arial" w:hAnsi="Arial" w:cs="Arial"/>
              </w:rPr>
              <w:t>On October 31 the Public Service Commission of Wisconsin approved the rate settlement for</w:t>
            </w:r>
            <w:r>
              <w:rPr>
                <w:rFonts w:ascii="Arial" w:hAnsi="Arial" w:cs="Arial"/>
              </w:rPr>
              <w:t xml:space="preserve"> Wisconsin Gas LLC. T</w:t>
            </w:r>
            <w:r w:rsidRPr="001A6B3C">
              <w:rPr>
                <w:rFonts w:ascii="Arial" w:hAnsi="Arial" w:cs="Arial"/>
              </w:rPr>
              <w:t>he approved settlement authorizes a $1.4 million rate increase, premised upon a 10.2% return on equity (52.5% of capital structure). The overall return and rate base value were not specified in either of the agreements.</w:t>
            </w:r>
          </w:p>
          <w:p w14:paraId="2FA4B272" w14:textId="77777777" w:rsidR="001A6B3C" w:rsidRDefault="001A6B3C" w:rsidP="001A6B3C">
            <w:pPr>
              <w:tabs>
                <w:tab w:val="left" w:pos="240"/>
                <w:tab w:val="center" w:pos="4839"/>
              </w:tabs>
              <w:rPr>
                <w:rFonts w:ascii="Arial" w:hAnsi="Arial" w:cs="Arial"/>
              </w:rPr>
            </w:pPr>
          </w:p>
          <w:p w14:paraId="5C5E8BD7" w14:textId="77777777" w:rsidR="001A6B3C" w:rsidRDefault="001A6B3C" w:rsidP="001A6B3C">
            <w:pPr>
              <w:tabs>
                <w:tab w:val="left" w:pos="240"/>
                <w:tab w:val="center" w:pos="4839"/>
              </w:tabs>
              <w:rPr>
                <w:rFonts w:ascii="Arial" w:hAnsi="Arial" w:cs="Arial"/>
              </w:rPr>
            </w:pPr>
            <w:r w:rsidRPr="00DB52B9">
              <w:rPr>
                <w:rFonts w:ascii="Arial" w:hAnsi="Arial" w:cs="Arial"/>
              </w:rPr>
              <w:t xml:space="preserve">The PSC-approved settlement also stipulate that </w:t>
            </w:r>
            <w:r>
              <w:rPr>
                <w:rFonts w:ascii="Arial" w:hAnsi="Arial" w:cs="Arial"/>
              </w:rPr>
              <w:t>WG</w:t>
            </w:r>
            <w:r w:rsidRPr="00DB52B9">
              <w:rPr>
                <w:rFonts w:ascii="Arial" w:hAnsi="Arial" w:cs="Arial"/>
              </w:rPr>
              <w:t xml:space="preserve"> will be subject to an earnings sharing mechanism where </w:t>
            </w:r>
            <w:r>
              <w:rPr>
                <w:rFonts w:ascii="Arial" w:hAnsi="Arial" w:cs="Arial"/>
              </w:rPr>
              <w:t>it</w:t>
            </w:r>
            <w:r w:rsidRPr="00DB52B9">
              <w:rPr>
                <w:rFonts w:ascii="Arial" w:hAnsi="Arial" w:cs="Arial"/>
              </w:rPr>
              <w:t xml:space="preserve"> would be permitted to retain 100% of earnings for the first 25 basis points of any earnings above its authorized ROE, the next 50 basis points of any earnings above the authorized ROE would be allocated equally to ratepayers and shareholders and 100% of any incremental excess earnings would be allocated to customers.</w:t>
            </w:r>
          </w:p>
          <w:p w14:paraId="32279B70" w14:textId="77777777" w:rsidR="001A6B3C" w:rsidRDefault="001A6B3C" w:rsidP="001A6B3C">
            <w:pPr>
              <w:tabs>
                <w:tab w:val="left" w:pos="240"/>
                <w:tab w:val="center" w:pos="4839"/>
              </w:tabs>
              <w:rPr>
                <w:rFonts w:ascii="Arial" w:hAnsi="Arial" w:cs="Arial"/>
              </w:rPr>
            </w:pPr>
          </w:p>
          <w:p w14:paraId="3482D37B" w14:textId="77777777" w:rsidR="001A6B3C" w:rsidRDefault="001A6B3C" w:rsidP="001A6B3C">
            <w:pPr>
              <w:tabs>
                <w:tab w:val="left" w:pos="240"/>
                <w:tab w:val="center" w:pos="4839"/>
              </w:tabs>
              <w:rPr>
                <w:rFonts w:ascii="Arial" w:hAnsi="Arial" w:cs="Arial"/>
              </w:rPr>
            </w:pPr>
            <w:r>
              <w:rPr>
                <w:rFonts w:ascii="Arial" w:hAnsi="Arial" w:cs="Arial"/>
              </w:rPr>
              <w:t xml:space="preserve">WG </w:t>
            </w:r>
            <w:r w:rsidRPr="001A6B3C">
              <w:rPr>
                <w:rFonts w:ascii="Arial" w:hAnsi="Arial" w:cs="Arial"/>
              </w:rPr>
              <w:t>agreed to maintain residential and small commercial electric and natural gas monthly customer fixed charges at currently authorized levels for 2020 and 2021 under the settlements.</w:t>
            </w:r>
          </w:p>
          <w:p w14:paraId="19F7ED94" w14:textId="77777777" w:rsidR="001A6B3C" w:rsidRPr="00B51D1F" w:rsidRDefault="001A6B3C" w:rsidP="001A6B3C">
            <w:pPr>
              <w:tabs>
                <w:tab w:val="left" w:pos="240"/>
                <w:tab w:val="center" w:pos="4839"/>
              </w:tabs>
              <w:rPr>
                <w:rFonts w:ascii="Arial" w:hAnsi="Arial" w:cs="Arial"/>
              </w:rPr>
            </w:pPr>
          </w:p>
        </w:tc>
      </w:tr>
      <w:tr w:rsidR="002A162A" w:rsidRPr="000602A6" w14:paraId="68D773F1" w14:textId="77777777" w:rsidTr="00975117">
        <w:trPr>
          <w:trHeight w:val="279"/>
        </w:trPr>
        <w:tc>
          <w:tcPr>
            <w:tcW w:w="9895" w:type="dxa"/>
            <w:gridSpan w:val="2"/>
            <w:shd w:val="clear" w:color="auto" w:fill="1F4E79" w:themeFill="accent1" w:themeFillShade="80"/>
          </w:tcPr>
          <w:p w14:paraId="6528C9ED" w14:textId="77777777" w:rsidR="002A162A" w:rsidRPr="000602A6" w:rsidRDefault="00DC52D8" w:rsidP="00975117">
            <w:pPr>
              <w:jc w:val="center"/>
              <w:rPr>
                <w:rFonts w:ascii="Arial" w:hAnsi="Arial" w:cs="Arial"/>
                <w:b/>
                <w:color w:val="FFFFFF" w:themeColor="background1"/>
              </w:rPr>
            </w:pPr>
            <w:bookmarkStart w:id="1" w:name="_Hlk29552716"/>
            <w:r>
              <w:rPr>
                <w:rFonts w:ascii="Arial" w:hAnsi="Arial" w:cs="Arial"/>
                <w:b/>
                <w:color w:val="FFFFFF" w:themeColor="background1"/>
              </w:rPr>
              <w:t xml:space="preserve">November </w:t>
            </w:r>
            <w:r w:rsidR="00C31BE8">
              <w:rPr>
                <w:rFonts w:ascii="Arial" w:hAnsi="Arial" w:cs="Arial"/>
                <w:b/>
                <w:color w:val="FFFFFF" w:themeColor="background1"/>
              </w:rPr>
              <w:t>7,</w:t>
            </w:r>
            <w:r w:rsidR="002A162A">
              <w:rPr>
                <w:rFonts w:ascii="Arial" w:hAnsi="Arial" w:cs="Arial"/>
                <w:b/>
                <w:color w:val="FFFFFF" w:themeColor="background1"/>
              </w:rPr>
              <w:t xml:space="preserve"> 2019</w:t>
            </w:r>
          </w:p>
        </w:tc>
      </w:tr>
      <w:tr w:rsidR="002A162A" w:rsidRPr="000602A6" w14:paraId="6028C850" w14:textId="77777777" w:rsidTr="00975117">
        <w:trPr>
          <w:trHeight w:val="279"/>
        </w:trPr>
        <w:tc>
          <w:tcPr>
            <w:tcW w:w="2245" w:type="dxa"/>
            <w:shd w:val="clear" w:color="auto" w:fill="1F4E79" w:themeFill="accent1" w:themeFillShade="80"/>
          </w:tcPr>
          <w:p w14:paraId="2C87E581"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14:paraId="747C507D" w14:textId="77777777" w:rsidR="002A162A" w:rsidRPr="000602A6" w:rsidRDefault="00C31BE8" w:rsidP="00975117">
            <w:pPr>
              <w:rPr>
                <w:rFonts w:ascii="Arial" w:hAnsi="Arial" w:cs="Arial"/>
              </w:rPr>
            </w:pPr>
            <w:r>
              <w:rPr>
                <w:rFonts w:ascii="Arial" w:hAnsi="Arial" w:cs="Arial"/>
              </w:rPr>
              <w:t>Entergy New Orleans LLC</w:t>
            </w:r>
          </w:p>
        </w:tc>
      </w:tr>
      <w:tr w:rsidR="002A162A" w:rsidRPr="00B51D1F" w14:paraId="219B7EA3" w14:textId="77777777" w:rsidTr="00975117">
        <w:trPr>
          <w:trHeight w:val="279"/>
        </w:trPr>
        <w:tc>
          <w:tcPr>
            <w:tcW w:w="2245" w:type="dxa"/>
            <w:shd w:val="clear" w:color="auto" w:fill="1F4E79" w:themeFill="accent1" w:themeFillShade="80"/>
          </w:tcPr>
          <w:p w14:paraId="17999D7A"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14:paraId="7B3B00D2" w14:textId="77777777" w:rsidR="002A162A" w:rsidRPr="00B51D1F" w:rsidRDefault="00C31BE8" w:rsidP="00975117">
            <w:pPr>
              <w:rPr>
                <w:rFonts w:ascii="Arial" w:hAnsi="Arial" w:cs="Arial"/>
              </w:rPr>
            </w:pPr>
            <w:r>
              <w:rPr>
                <w:rFonts w:ascii="Arial" w:hAnsi="Arial" w:cs="Arial"/>
              </w:rPr>
              <w:t>Louisiana</w:t>
            </w:r>
          </w:p>
        </w:tc>
      </w:tr>
      <w:tr w:rsidR="002A162A" w:rsidRPr="00B51D1F" w14:paraId="28EB2095" w14:textId="77777777" w:rsidTr="00975117">
        <w:trPr>
          <w:trHeight w:val="263"/>
        </w:trPr>
        <w:tc>
          <w:tcPr>
            <w:tcW w:w="2245" w:type="dxa"/>
            <w:shd w:val="clear" w:color="auto" w:fill="1F4E79" w:themeFill="accent1" w:themeFillShade="80"/>
          </w:tcPr>
          <w:p w14:paraId="655600EA"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14:paraId="2F6DF8B6" w14:textId="77777777" w:rsidR="002A162A" w:rsidRPr="00B51D1F" w:rsidRDefault="00C31BE8" w:rsidP="00975117">
            <w:pPr>
              <w:rPr>
                <w:rFonts w:ascii="Arial" w:hAnsi="Arial" w:cs="Arial"/>
                <w:color w:val="0000FF"/>
                <w:u w:val="single"/>
              </w:rPr>
            </w:pPr>
            <w:r>
              <w:rPr>
                <w:rFonts w:ascii="Arial" w:hAnsi="Arial" w:cs="Arial"/>
                <w:color w:val="0000FF"/>
                <w:u w:val="single"/>
              </w:rPr>
              <w:t>UD-18-07</w:t>
            </w:r>
          </w:p>
        </w:tc>
      </w:tr>
      <w:tr w:rsidR="002A162A" w:rsidRPr="00416BC2" w14:paraId="7C69FC1E" w14:textId="77777777" w:rsidTr="00975117">
        <w:trPr>
          <w:trHeight w:val="279"/>
        </w:trPr>
        <w:tc>
          <w:tcPr>
            <w:tcW w:w="2245" w:type="dxa"/>
            <w:shd w:val="clear" w:color="auto" w:fill="1F4E79" w:themeFill="accent1" w:themeFillShade="80"/>
          </w:tcPr>
          <w:p w14:paraId="5F4DAC06"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14:paraId="41CD4F5A" w14:textId="77777777" w:rsidR="002A162A" w:rsidRPr="006A20C9" w:rsidRDefault="00C31BE8" w:rsidP="006A20C9">
            <w:pPr>
              <w:rPr>
                <w:rFonts w:ascii="Arial" w:hAnsi="Arial" w:cs="Arial"/>
              </w:rPr>
            </w:pPr>
            <w:r>
              <w:rPr>
                <w:rFonts w:ascii="Arial" w:hAnsi="Arial" w:cs="Arial"/>
              </w:rPr>
              <w:t>-$100,000</w:t>
            </w:r>
          </w:p>
        </w:tc>
      </w:tr>
      <w:tr w:rsidR="002A162A" w:rsidRPr="00B51D1F" w14:paraId="15443EDB" w14:textId="77777777" w:rsidTr="00975117">
        <w:trPr>
          <w:trHeight w:val="263"/>
        </w:trPr>
        <w:tc>
          <w:tcPr>
            <w:tcW w:w="2245" w:type="dxa"/>
            <w:shd w:val="clear" w:color="auto" w:fill="1F4E79" w:themeFill="accent1" w:themeFillShade="80"/>
          </w:tcPr>
          <w:p w14:paraId="08FA1598"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14:paraId="7D1B2415" w14:textId="77777777" w:rsidR="002A162A" w:rsidRPr="00B51D1F" w:rsidRDefault="00C31BE8" w:rsidP="00975117">
            <w:pPr>
              <w:rPr>
                <w:rFonts w:ascii="Arial" w:hAnsi="Arial" w:cs="Arial"/>
              </w:rPr>
            </w:pPr>
            <w:r>
              <w:rPr>
                <w:rFonts w:ascii="Arial" w:hAnsi="Arial" w:cs="Arial"/>
              </w:rPr>
              <w:t>9.35%</w:t>
            </w:r>
          </w:p>
        </w:tc>
      </w:tr>
      <w:tr w:rsidR="002A162A" w:rsidRPr="00B51D1F" w14:paraId="6DC59646" w14:textId="77777777" w:rsidTr="00975117">
        <w:trPr>
          <w:trHeight w:val="263"/>
        </w:trPr>
        <w:tc>
          <w:tcPr>
            <w:tcW w:w="2245" w:type="dxa"/>
            <w:shd w:val="clear" w:color="auto" w:fill="1F4E79" w:themeFill="accent1" w:themeFillShade="80"/>
          </w:tcPr>
          <w:p w14:paraId="762C0988" w14:textId="77777777" w:rsidR="002A162A" w:rsidRPr="00B51D1F" w:rsidRDefault="002A162A" w:rsidP="00975117">
            <w:pPr>
              <w:rPr>
                <w:rFonts w:ascii="Arial" w:hAnsi="Arial" w:cs="Arial"/>
                <w:b/>
                <w:color w:val="FFFFFF" w:themeColor="background1"/>
              </w:rPr>
            </w:pPr>
            <w:r>
              <w:rPr>
                <w:rFonts w:ascii="Arial" w:hAnsi="Arial" w:cs="Arial"/>
                <w:b/>
                <w:color w:val="FFFFFF" w:themeColor="background1"/>
              </w:rPr>
              <w:t>Intervenors</w:t>
            </w:r>
          </w:p>
        </w:tc>
        <w:tc>
          <w:tcPr>
            <w:tcW w:w="7650" w:type="dxa"/>
          </w:tcPr>
          <w:p w14:paraId="1276AC88" w14:textId="77777777" w:rsidR="002A162A" w:rsidRPr="00B51D1F" w:rsidRDefault="00C31BE8" w:rsidP="00975117">
            <w:pPr>
              <w:rPr>
                <w:rFonts w:ascii="Arial" w:hAnsi="Arial" w:cs="Arial"/>
              </w:rPr>
            </w:pPr>
            <w:r>
              <w:rPr>
                <w:rFonts w:ascii="Arial" w:hAnsi="Arial" w:cs="Arial"/>
              </w:rPr>
              <w:t>350 New Orleans, Alliance for Affordable Energy, Building Science Innovators, Crescent City Power Users Group, Justice and Beyond, Sierra Club</w:t>
            </w:r>
          </w:p>
        </w:tc>
      </w:tr>
      <w:tr w:rsidR="002A162A" w:rsidRPr="00B51D1F" w14:paraId="6855F098" w14:textId="77777777" w:rsidTr="00975117">
        <w:trPr>
          <w:trHeight w:val="263"/>
        </w:trPr>
        <w:tc>
          <w:tcPr>
            <w:tcW w:w="9895" w:type="dxa"/>
            <w:gridSpan w:val="2"/>
            <w:shd w:val="clear" w:color="auto" w:fill="1F4E79" w:themeFill="accent1" w:themeFillShade="80"/>
          </w:tcPr>
          <w:p w14:paraId="5022F676" w14:textId="77777777" w:rsidR="002A162A" w:rsidRPr="00B51D1F" w:rsidRDefault="002A162A" w:rsidP="00975117">
            <w:pPr>
              <w:tabs>
                <w:tab w:val="left" w:pos="240"/>
                <w:tab w:val="center" w:pos="4839"/>
              </w:tabs>
              <w:rPr>
                <w:rFonts w:ascii="Arial" w:hAnsi="Arial" w:cs="Arial"/>
                <w:b/>
              </w:rPr>
            </w:pPr>
            <w:r w:rsidRPr="00B51D1F">
              <w:rPr>
                <w:rFonts w:ascii="Arial" w:hAnsi="Arial" w:cs="Arial"/>
              </w:rPr>
              <w:lastRenderedPageBreak/>
              <w:tab/>
            </w:r>
            <w:r w:rsidRPr="00B51D1F">
              <w:rPr>
                <w:rFonts w:ascii="Arial" w:hAnsi="Arial" w:cs="Arial"/>
              </w:rPr>
              <w:tab/>
            </w:r>
            <w:r w:rsidRPr="00B51D1F">
              <w:rPr>
                <w:rFonts w:ascii="Arial" w:hAnsi="Arial" w:cs="Arial"/>
                <w:b/>
                <w:color w:val="FFFFFF" w:themeColor="background1"/>
              </w:rPr>
              <w:t>Case Summary</w:t>
            </w:r>
          </w:p>
        </w:tc>
      </w:tr>
      <w:tr w:rsidR="002A162A" w:rsidRPr="00B51D1F" w14:paraId="7257882C" w14:textId="77777777" w:rsidTr="00975117">
        <w:trPr>
          <w:trHeight w:val="263"/>
        </w:trPr>
        <w:tc>
          <w:tcPr>
            <w:tcW w:w="9895" w:type="dxa"/>
            <w:gridSpan w:val="2"/>
            <w:shd w:val="clear" w:color="auto" w:fill="FFFFFF" w:themeFill="background1"/>
          </w:tcPr>
          <w:p w14:paraId="43FBEE5B" w14:textId="77777777" w:rsidR="00C31BE8" w:rsidRPr="00C31BE8" w:rsidRDefault="00C31BE8" w:rsidP="00C31BE8">
            <w:pPr>
              <w:tabs>
                <w:tab w:val="left" w:pos="240"/>
                <w:tab w:val="center" w:pos="4839"/>
              </w:tabs>
              <w:rPr>
                <w:rFonts w:ascii="Arial" w:hAnsi="Arial" w:cs="Arial"/>
              </w:rPr>
            </w:pPr>
            <w:r w:rsidRPr="00C31BE8">
              <w:rPr>
                <w:rFonts w:ascii="Arial" w:hAnsi="Arial" w:cs="Arial"/>
              </w:rPr>
              <w:t>The New Orleans City Council voted to reduce Entergy New Orleans LLC's electric and gas rates to decrease revenues by a combined $20.1 million annually, cut its return on equity and ordered a $1 million fine for reliability issues.</w:t>
            </w:r>
            <w:r>
              <w:rPr>
                <w:rFonts w:ascii="Arial" w:hAnsi="Arial" w:cs="Arial"/>
              </w:rPr>
              <w:t xml:space="preserve"> $100,00 of the decrease will be born by the gas utility. </w:t>
            </w:r>
          </w:p>
          <w:p w14:paraId="32F3EB8E" w14:textId="77777777" w:rsidR="00C31BE8" w:rsidRPr="00C31BE8" w:rsidRDefault="00C31BE8" w:rsidP="00C31BE8">
            <w:pPr>
              <w:tabs>
                <w:tab w:val="left" w:pos="240"/>
                <w:tab w:val="center" w:pos="4839"/>
              </w:tabs>
              <w:rPr>
                <w:rFonts w:ascii="Arial" w:hAnsi="Arial" w:cs="Arial"/>
              </w:rPr>
            </w:pPr>
          </w:p>
          <w:p w14:paraId="57AF4A8C" w14:textId="77777777" w:rsidR="00C31BE8" w:rsidRDefault="00C31BE8" w:rsidP="00C31BE8">
            <w:pPr>
              <w:tabs>
                <w:tab w:val="left" w:pos="240"/>
                <w:tab w:val="center" w:pos="4839"/>
              </w:tabs>
              <w:rPr>
                <w:rFonts w:ascii="Arial" w:hAnsi="Arial" w:cs="Arial"/>
              </w:rPr>
            </w:pPr>
            <w:r w:rsidRPr="00C31BE8">
              <w:rPr>
                <w:rFonts w:ascii="Arial" w:hAnsi="Arial" w:cs="Arial"/>
              </w:rPr>
              <w:t>The city council, which serves as the Entergy Corp. utility's regulator, on Nov. 7 approved a rate settlement to reduce Entergy New Orleans' ROE to 9.35%, from a proposed range of 10.25% to 11.25%.</w:t>
            </w:r>
          </w:p>
          <w:p w14:paraId="52A07FE6" w14:textId="093F2D08" w:rsidR="00717086" w:rsidRPr="00B51D1F" w:rsidRDefault="00717086" w:rsidP="00C31BE8">
            <w:pPr>
              <w:tabs>
                <w:tab w:val="left" w:pos="240"/>
                <w:tab w:val="center" w:pos="4839"/>
              </w:tabs>
              <w:rPr>
                <w:rFonts w:ascii="Arial" w:hAnsi="Arial" w:cs="Arial"/>
              </w:rPr>
            </w:pPr>
          </w:p>
        </w:tc>
      </w:tr>
      <w:bookmarkEnd w:id="1"/>
    </w:tbl>
    <w:p w14:paraId="230FF639" w14:textId="77777777" w:rsidR="002A162A" w:rsidRDefault="002A162A" w:rsidP="009965F4">
      <w:pPr>
        <w:rPr>
          <w:rFonts w:ascii="Arial" w:hAnsi="Arial" w:cs="Arial"/>
          <w:i/>
          <w:iCs/>
          <w:color w:val="000000"/>
          <w:sz w:val="18"/>
          <w:szCs w:val="18"/>
        </w:rPr>
      </w:pPr>
    </w:p>
    <w:tbl>
      <w:tblPr>
        <w:tblStyle w:val="TableGrid"/>
        <w:tblW w:w="9895" w:type="dxa"/>
        <w:tblLook w:val="04A0" w:firstRow="1" w:lastRow="0" w:firstColumn="1" w:lastColumn="0" w:noHBand="0" w:noVBand="1"/>
      </w:tblPr>
      <w:tblGrid>
        <w:gridCol w:w="2245"/>
        <w:gridCol w:w="7650"/>
      </w:tblGrid>
      <w:tr w:rsidR="00CD5878" w:rsidRPr="000602A6" w14:paraId="76C8DED7" w14:textId="77777777" w:rsidTr="00935547">
        <w:trPr>
          <w:trHeight w:val="279"/>
        </w:trPr>
        <w:tc>
          <w:tcPr>
            <w:tcW w:w="9895" w:type="dxa"/>
            <w:gridSpan w:val="2"/>
            <w:shd w:val="clear" w:color="auto" w:fill="1F4E79" w:themeFill="accent1" w:themeFillShade="80"/>
          </w:tcPr>
          <w:p w14:paraId="3665B476" w14:textId="77777777" w:rsidR="00CD5878" w:rsidRPr="000602A6" w:rsidRDefault="00CA6E77" w:rsidP="00935547">
            <w:pPr>
              <w:jc w:val="center"/>
              <w:rPr>
                <w:rFonts w:ascii="Arial" w:hAnsi="Arial" w:cs="Arial"/>
                <w:b/>
                <w:color w:val="FFFFFF" w:themeColor="background1"/>
              </w:rPr>
            </w:pPr>
            <w:bookmarkStart w:id="2" w:name="_Hlk29552741"/>
            <w:r>
              <w:rPr>
                <w:rFonts w:ascii="Arial" w:hAnsi="Arial" w:cs="Arial"/>
                <w:b/>
                <w:color w:val="FFFFFF" w:themeColor="background1"/>
              </w:rPr>
              <w:t>November 13</w:t>
            </w:r>
            <w:r w:rsidR="00CD5878">
              <w:rPr>
                <w:rFonts w:ascii="Arial" w:hAnsi="Arial" w:cs="Arial"/>
                <w:b/>
                <w:color w:val="FFFFFF" w:themeColor="background1"/>
              </w:rPr>
              <w:t>, 2019</w:t>
            </w:r>
          </w:p>
        </w:tc>
      </w:tr>
      <w:tr w:rsidR="00CD5878" w:rsidRPr="000602A6" w14:paraId="54132D7E" w14:textId="77777777" w:rsidTr="00935547">
        <w:trPr>
          <w:trHeight w:val="279"/>
        </w:trPr>
        <w:tc>
          <w:tcPr>
            <w:tcW w:w="2245" w:type="dxa"/>
            <w:shd w:val="clear" w:color="auto" w:fill="1F4E79" w:themeFill="accent1" w:themeFillShade="80"/>
          </w:tcPr>
          <w:p w14:paraId="1319E55B"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14:paraId="6380824A" w14:textId="77777777" w:rsidR="00CD5878" w:rsidRPr="000602A6" w:rsidRDefault="00CA6E77" w:rsidP="00935547">
            <w:pPr>
              <w:rPr>
                <w:rFonts w:ascii="Arial" w:hAnsi="Arial" w:cs="Arial"/>
              </w:rPr>
            </w:pPr>
            <w:r>
              <w:rPr>
                <w:rFonts w:ascii="Arial" w:hAnsi="Arial" w:cs="Arial"/>
              </w:rPr>
              <w:t>New Jersey Natural Gas Co.</w:t>
            </w:r>
          </w:p>
        </w:tc>
      </w:tr>
      <w:tr w:rsidR="00CD5878" w:rsidRPr="00B51D1F" w14:paraId="507030DD" w14:textId="77777777" w:rsidTr="00935547">
        <w:trPr>
          <w:trHeight w:val="279"/>
        </w:trPr>
        <w:tc>
          <w:tcPr>
            <w:tcW w:w="2245" w:type="dxa"/>
            <w:shd w:val="clear" w:color="auto" w:fill="1F4E79" w:themeFill="accent1" w:themeFillShade="80"/>
          </w:tcPr>
          <w:p w14:paraId="7EC52817"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14:paraId="6C9FFB14" w14:textId="77777777" w:rsidR="00CD5878" w:rsidRPr="00B51D1F" w:rsidRDefault="00CA6E77" w:rsidP="00935547">
            <w:pPr>
              <w:rPr>
                <w:rFonts w:ascii="Arial" w:hAnsi="Arial" w:cs="Arial"/>
              </w:rPr>
            </w:pPr>
            <w:r>
              <w:rPr>
                <w:rFonts w:ascii="Arial" w:hAnsi="Arial" w:cs="Arial"/>
              </w:rPr>
              <w:t>New Jersey</w:t>
            </w:r>
          </w:p>
        </w:tc>
      </w:tr>
      <w:tr w:rsidR="00CD5878" w:rsidRPr="00B51D1F" w14:paraId="51645479" w14:textId="77777777" w:rsidTr="00935547">
        <w:trPr>
          <w:trHeight w:val="263"/>
        </w:trPr>
        <w:tc>
          <w:tcPr>
            <w:tcW w:w="2245" w:type="dxa"/>
            <w:shd w:val="clear" w:color="auto" w:fill="1F4E79" w:themeFill="accent1" w:themeFillShade="80"/>
          </w:tcPr>
          <w:p w14:paraId="7B0F7F33"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14:paraId="1C8FBD78" w14:textId="77777777" w:rsidR="00CD5878" w:rsidRPr="00B51D1F" w:rsidRDefault="00F103A3" w:rsidP="00935547">
            <w:pPr>
              <w:rPr>
                <w:rFonts w:ascii="Arial" w:hAnsi="Arial" w:cs="Arial"/>
                <w:color w:val="0000FF"/>
                <w:u w:val="single"/>
              </w:rPr>
            </w:pPr>
            <w:hyperlink r:id="rId19" w:history="1">
              <w:r w:rsidR="00CA6E77" w:rsidRPr="008A101B">
                <w:rPr>
                  <w:rStyle w:val="Hyperlink"/>
                  <w:rFonts w:ascii="Arial" w:hAnsi="Arial" w:cs="Arial"/>
                </w:rPr>
                <w:t>GR19030420</w:t>
              </w:r>
            </w:hyperlink>
          </w:p>
        </w:tc>
      </w:tr>
      <w:tr w:rsidR="00CD5878" w:rsidRPr="006A20C9" w14:paraId="2277FA39" w14:textId="77777777" w:rsidTr="00935547">
        <w:trPr>
          <w:trHeight w:val="279"/>
        </w:trPr>
        <w:tc>
          <w:tcPr>
            <w:tcW w:w="2245" w:type="dxa"/>
            <w:shd w:val="clear" w:color="auto" w:fill="1F4E79" w:themeFill="accent1" w:themeFillShade="80"/>
          </w:tcPr>
          <w:p w14:paraId="1109826C"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14:paraId="34DD2241" w14:textId="77777777" w:rsidR="00CD5878" w:rsidRPr="006A20C9" w:rsidRDefault="00CD5878" w:rsidP="00935547">
            <w:pPr>
              <w:rPr>
                <w:rFonts w:ascii="Arial" w:hAnsi="Arial" w:cs="Arial"/>
              </w:rPr>
            </w:pPr>
            <w:r w:rsidRPr="006A20C9">
              <w:rPr>
                <w:rFonts w:ascii="Arial" w:hAnsi="Arial" w:cs="Arial"/>
              </w:rPr>
              <w:t>$</w:t>
            </w:r>
            <w:r w:rsidR="00CA6E77">
              <w:rPr>
                <w:rFonts w:ascii="Arial" w:hAnsi="Arial" w:cs="Arial"/>
              </w:rPr>
              <w:t>62,200,000</w:t>
            </w:r>
          </w:p>
        </w:tc>
      </w:tr>
      <w:tr w:rsidR="00CD5878" w:rsidRPr="00B51D1F" w14:paraId="2BA43ABE" w14:textId="77777777" w:rsidTr="00935547">
        <w:trPr>
          <w:trHeight w:val="263"/>
        </w:trPr>
        <w:tc>
          <w:tcPr>
            <w:tcW w:w="2245" w:type="dxa"/>
            <w:shd w:val="clear" w:color="auto" w:fill="1F4E79" w:themeFill="accent1" w:themeFillShade="80"/>
          </w:tcPr>
          <w:p w14:paraId="6FC711AE"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14:paraId="42FE2A29" w14:textId="77777777" w:rsidR="00CD5878" w:rsidRPr="00B51D1F" w:rsidRDefault="008A101B" w:rsidP="00935547">
            <w:pPr>
              <w:rPr>
                <w:rFonts w:ascii="Arial" w:hAnsi="Arial" w:cs="Arial"/>
              </w:rPr>
            </w:pPr>
            <w:r>
              <w:rPr>
                <w:rFonts w:ascii="Arial" w:hAnsi="Arial" w:cs="Arial"/>
              </w:rPr>
              <w:t>9.60%</w:t>
            </w:r>
          </w:p>
        </w:tc>
      </w:tr>
      <w:tr w:rsidR="00CD5878" w:rsidRPr="00B51D1F" w14:paraId="26104F0D" w14:textId="77777777" w:rsidTr="00935547">
        <w:trPr>
          <w:trHeight w:val="263"/>
        </w:trPr>
        <w:tc>
          <w:tcPr>
            <w:tcW w:w="2245" w:type="dxa"/>
            <w:shd w:val="clear" w:color="auto" w:fill="1F4E79" w:themeFill="accent1" w:themeFillShade="80"/>
          </w:tcPr>
          <w:p w14:paraId="566E4850" w14:textId="77777777" w:rsidR="00CD5878" w:rsidRPr="00B51D1F" w:rsidRDefault="00CD5878" w:rsidP="00935547">
            <w:pPr>
              <w:rPr>
                <w:rFonts w:ascii="Arial" w:hAnsi="Arial" w:cs="Arial"/>
                <w:b/>
                <w:color w:val="FFFFFF" w:themeColor="background1"/>
              </w:rPr>
            </w:pPr>
            <w:r>
              <w:rPr>
                <w:rFonts w:ascii="Arial" w:hAnsi="Arial" w:cs="Arial"/>
                <w:b/>
                <w:color w:val="FFFFFF" w:themeColor="background1"/>
              </w:rPr>
              <w:t>Intervenors</w:t>
            </w:r>
          </w:p>
        </w:tc>
        <w:tc>
          <w:tcPr>
            <w:tcW w:w="7650" w:type="dxa"/>
          </w:tcPr>
          <w:p w14:paraId="5FD9153B" w14:textId="77777777" w:rsidR="00CD5878" w:rsidRPr="00B51D1F" w:rsidRDefault="008A101B" w:rsidP="00935547">
            <w:pPr>
              <w:rPr>
                <w:rFonts w:ascii="Arial" w:hAnsi="Arial" w:cs="Arial"/>
              </w:rPr>
            </w:pPr>
            <w:r>
              <w:rPr>
                <w:rFonts w:ascii="Arial" w:hAnsi="Arial" w:cs="Arial"/>
              </w:rPr>
              <w:t>U</w:t>
            </w:r>
            <w:r w:rsidRPr="008A101B">
              <w:rPr>
                <w:rFonts w:ascii="Arial" w:hAnsi="Arial" w:cs="Arial"/>
              </w:rPr>
              <w:t>.S. Department of Defense/Federal Executive Agencies</w:t>
            </w:r>
            <w:r>
              <w:rPr>
                <w:rFonts w:ascii="Arial" w:hAnsi="Arial" w:cs="Arial"/>
              </w:rPr>
              <w:t xml:space="preserve">, </w:t>
            </w:r>
          </w:p>
        </w:tc>
      </w:tr>
      <w:tr w:rsidR="00CD5878" w:rsidRPr="00B51D1F" w14:paraId="7FC90A88" w14:textId="77777777" w:rsidTr="00935547">
        <w:trPr>
          <w:trHeight w:val="263"/>
        </w:trPr>
        <w:tc>
          <w:tcPr>
            <w:tcW w:w="9895" w:type="dxa"/>
            <w:gridSpan w:val="2"/>
            <w:shd w:val="clear" w:color="auto" w:fill="1F4E79" w:themeFill="accent1" w:themeFillShade="80"/>
          </w:tcPr>
          <w:p w14:paraId="5AB57EA9" w14:textId="77777777" w:rsidR="00CD5878" w:rsidRPr="00B51D1F" w:rsidRDefault="00CD5878" w:rsidP="00935547">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CD5878" w:rsidRPr="00B51D1F" w14:paraId="298CF6ED" w14:textId="77777777" w:rsidTr="00935547">
        <w:trPr>
          <w:trHeight w:val="263"/>
        </w:trPr>
        <w:tc>
          <w:tcPr>
            <w:tcW w:w="9895" w:type="dxa"/>
            <w:gridSpan w:val="2"/>
            <w:shd w:val="clear" w:color="auto" w:fill="FFFFFF" w:themeFill="background1"/>
          </w:tcPr>
          <w:p w14:paraId="5EA60E3F" w14:textId="77777777" w:rsidR="00CD5878" w:rsidRDefault="008A101B" w:rsidP="00935547">
            <w:pPr>
              <w:tabs>
                <w:tab w:val="left" w:pos="240"/>
                <w:tab w:val="center" w:pos="4839"/>
              </w:tabs>
              <w:rPr>
                <w:rFonts w:ascii="Arial" w:hAnsi="Arial" w:cs="Arial"/>
              </w:rPr>
            </w:pPr>
            <w:r w:rsidRPr="008A101B">
              <w:rPr>
                <w:rFonts w:ascii="Arial" w:hAnsi="Arial" w:cs="Arial"/>
              </w:rPr>
              <w:t>At a Nov. 13 public meeting, the New Jersey Board of Public Utilities voted unanimously to adopt a rate case settlement authorizing New Jersey Natural Gas Co. a $62.2 million, or 8.3%, overall gas rate increase, versus the $134.3 million increase supported by the company prior to the settlement. The new rates are to become effective for service rendered on and after Nov. 15, several months ahead of the date new rates would likely have been implemented had the settlement not been reached.</w:t>
            </w:r>
          </w:p>
          <w:p w14:paraId="237D770E" w14:textId="77777777" w:rsidR="008A101B" w:rsidRDefault="008A101B" w:rsidP="00935547">
            <w:pPr>
              <w:tabs>
                <w:tab w:val="left" w:pos="240"/>
                <w:tab w:val="center" w:pos="4839"/>
              </w:tabs>
              <w:rPr>
                <w:rFonts w:ascii="Arial" w:hAnsi="Arial" w:cs="Arial"/>
              </w:rPr>
            </w:pPr>
          </w:p>
          <w:p w14:paraId="1F4D2AB5" w14:textId="77777777" w:rsidR="008A101B" w:rsidRDefault="008A101B" w:rsidP="00935547">
            <w:pPr>
              <w:tabs>
                <w:tab w:val="left" w:pos="240"/>
                <w:tab w:val="center" w:pos="4839"/>
              </w:tabs>
              <w:rPr>
                <w:rFonts w:ascii="Arial" w:hAnsi="Arial" w:cs="Arial"/>
              </w:rPr>
            </w:pPr>
            <w:r w:rsidRPr="008A101B">
              <w:rPr>
                <w:rFonts w:ascii="Arial" w:hAnsi="Arial" w:cs="Arial"/>
              </w:rPr>
              <w:t>The stipulated revenue requirement reflects a 9.6% return on equity (54% of a hypothetical capital structure) and a 6.95% return on year-end rate base valued at $1.765 billion for a test year ended Aug. 31, 2019.</w:t>
            </w:r>
          </w:p>
          <w:p w14:paraId="6E6C1454" w14:textId="77777777" w:rsidR="008A101B" w:rsidRDefault="008A101B" w:rsidP="00935547">
            <w:pPr>
              <w:tabs>
                <w:tab w:val="left" w:pos="240"/>
                <w:tab w:val="center" w:pos="4839"/>
              </w:tabs>
              <w:rPr>
                <w:rFonts w:ascii="Arial" w:hAnsi="Arial" w:cs="Arial"/>
              </w:rPr>
            </w:pPr>
          </w:p>
          <w:p w14:paraId="4354CBA8" w14:textId="77777777" w:rsidR="008A101B" w:rsidRPr="008A101B" w:rsidRDefault="008A101B" w:rsidP="008A101B">
            <w:pPr>
              <w:tabs>
                <w:tab w:val="left" w:pos="240"/>
                <w:tab w:val="center" w:pos="4839"/>
              </w:tabs>
              <w:rPr>
                <w:rFonts w:ascii="Arial" w:hAnsi="Arial" w:cs="Arial"/>
              </w:rPr>
            </w:pPr>
            <w:r w:rsidRPr="008A101B">
              <w:rPr>
                <w:rFonts w:ascii="Arial" w:hAnsi="Arial" w:cs="Arial"/>
              </w:rPr>
              <w:t>While silent with respect to the specific components of rate base, the agreement states that the company's or NJNG's investments made through June 30 under its Safe Acceleration and Facility Enhancement program and its New Jersey Reinvestment in System Enhancement program, known as NJ RISE are deemed prudent.</w:t>
            </w:r>
          </w:p>
          <w:p w14:paraId="2715D0A9" w14:textId="77777777" w:rsidR="008A101B" w:rsidRPr="008A101B" w:rsidRDefault="008A101B" w:rsidP="008A101B">
            <w:pPr>
              <w:tabs>
                <w:tab w:val="left" w:pos="240"/>
                <w:tab w:val="center" w:pos="4839"/>
              </w:tabs>
              <w:rPr>
                <w:rFonts w:ascii="Arial" w:hAnsi="Arial" w:cs="Arial"/>
              </w:rPr>
            </w:pPr>
          </w:p>
          <w:p w14:paraId="0AF2BB10" w14:textId="77777777" w:rsidR="008A101B" w:rsidRPr="008A101B" w:rsidRDefault="008A101B" w:rsidP="008A101B">
            <w:pPr>
              <w:tabs>
                <w:tab w:val="left" w:pos="240"/>
                <w:tab w:val="center" w:pos="4839"/>
              </w:tabs>
              <w:rPr>
                <w:rFonts w:ascii="Arial" w:hAnsi="Arial" w:cs="Arial"/>
              </w:rPr>
            </w:pPr>
            <w:r w:rsidRPr="008A101B">
              <w:rPr>
                <w:rFonts w:ascii="Arial" w:hAnsi="Arial" w:cs="Arial"/>
              </w:rPr>
              <w:t xml:space="preserve">In addition, the agreement states that the revenue requirement includes an adjustment for consolidated federal income </w:t>
            </w:r>
            <w:proofErr w:type="gramStart"/>
            <w:r w:rsidRPr="008A101B">
              <w:rPr>
                <w:rFonts w:ascii="Arial" w:hAnsi="Arial" w:cs="Arial"/>
              </w:rPr>
              <w:t>taxes, but</w:t>
            </w:r>
            <w:proofErr w:type="gramEnd"/>
            <w:r w:rsidRPr="008A101B">
              <w:rPr>
                <w:rFonts w:ascii="Arial" w:hAnsi="Arial" w:cs="Arial"/>
              </w:rPr>
              <w:t xml:space="preserve"> does not quantify the adjustment.</w:t>
            </w:r>
          </w:p>
          <w:p w14:paraId="1CFF1C39" w14:textId="77777777" w:rsidR="008A101B" w:rsidRPr="008A101B" w:rsidRDefault="008A101B" w:rsidP="008A101B">
            <w:pPr>
              <w:tabs>
                <w:tab w:val="left" w:pos="240"/>
                <w:tab w:val="center" w:pos="4839"/>
              </w:tabs>
              <w:rPr>
                <w:rFonts w:ascii="Arial" w:hAnsi="Arial" w:cs="Arial"/>
              </w:rPr>
            </w:pPr>
          </w:p>
          <w:p w14:paraId="01EA6E28" w14:textId="77777777" w:rsidR="008A101B" w:rsidRPr="008A101B" w:rsidRDefault="008A101B" w:rsidP="008A101B">
            <w:pPr>
              <w:tabs>
                <w:tab w:val="left" w:pos="240"/>
                <w:tab w:val="center" w:pos="4839"/>
              </w:tabs>
              <w:rPr>
                <w:rFonts w:ascii="Arial" w:hAnsi="Arial" w:cs="Arial"/>
              </w:rPr>
            </w:pPr>
            <w:r w:rsidRPr="008A101B">
              <w:rPr>
                <w:rFonts w:ascii="Arial" w:hAnsi="Arial" w:cs="Arial"/>
              </w:rPr>
              <w:t xml:space="preserve">The agreement also calls for NJNG to withdraw its requests for deferred accounting treatment for new information technology systems, known as </w:t>
            </w:r>
            <w:proofErr w:type="spellStart"/>
            <w:r w:rsidRPr="008A101B">
              <w:rPr>
                <w:rFonts w:ascii="Arial" w:hAnsi="Arial" w:cs="Arial"/>
              </w:rPr>
              <w:t>ProjectNext</w:t>
            </w:r>
            <w:proofErr w:type="spellEnd"/>
            <w:r w:rsidRPr="008A101B">
              <w:rPr>
                <w:rFonts w:ascii="Arial" w:hAnsi="Arial" w:cs="Arial"/>
              </w:rPr>
              <w:t xml:space="preserve"> (Docket No. GR18101096) and to initiate a Phase 2 proceeding to address ratemaking for the Southern Reliability Link.</w:t>
            </w:r>
          </w:p>
          <w:p w14:paraId="1990B7E5" w14:textId="77777777" w:rsidR="008A101B" w:rsidRPr="008A101B" w:rsidRDefault="008A101B" w:rsidP="008A101B">
            <w:pPr>
              <w:tabs>
                <w:tab w:val="left" w:pos="240"/>
                <w:tab w:val="center" w:pos="4839"/>
              </w:tabs>
              <w:rPr>
                <w:rFonts w:ascii="Arial" w:hAnsi="Arial" w:cs="Arial"/>
              </w:rPr>
            </w:pPr>
          </w:p>
          <w:p w14:paraId="5FEB8AFB" w14:textId="77777777" w:rsidR="008A101B" w:rsidRDefault="008A101B" w:rsidP="008A101B">
            <w:pPr>
              <w:tabs>
                <w:tab w:val="left" w:pos="240"/>
                <w:tab w:val="center" w:pos="4839"/>
              </w:tabs>
              <w:rPr>
                <w:rFonts w:ascii="Arial" w:hAnsi="Arial" w:cs="Arial"/>
              </w:rPr>
            </w:pPr>
            <w:r w:rsidRPr="008A101B">
              <w:rPr>
                <w:rFonts w:ascii="Arial" w:hAnsi="Arial" w:cs="Arial"/>
              </w:rPr>
              <w:t>Parties to the agreement include NJNG, the New Jersey Division of Rate Counsel, the BPU staff and the U.S. Department of Defense/Federal Executive Agencies.</w:t>
            </w:r>
          </w:p>
          <w:p w14:paraId="6A3FB844" w14:textId="77777777" w:rsidR="00CD5878" w:rsidRPr="00B51D1F" w:rsidRDefault="00CD5878" w:rsidP="00935547">
            <w:pPr>
              <w:tabs>
                <w:tab w:val="left" w:pos="240"/>
                <w:tab w:val="center" w:pos="4839"/>
              </w:tabs>
              <w:rPr>
                <w:rFonts w:ascii="Arial" w:hAnsi="Arial" w:cs="Arial"/>
              </w:rPr>
            </w:pPr>
          </w:p>
        </w:tc>
      </w:tr>
      <w:bookmarkEnd w:id="2"/>
    </w:tbl>
    <w:p w14:paraId="1FE99CFE" w14:textId="77777777" w:rsidR="00CD5878" w:rsidRDefault="00CD5878" w:rsidP="009965F4">
      <w:pPr>
        <w:rPr>
          <w:rFonts w:ascii="Arial" w:hAnsi="Arial" w:cs="Arial"/>
          <w:i/>
          <w:iCs/>
          <w:color w:val="000000"/>
          <w:sz w:val="18"/>
          <w:szCs w:val="18"/>
        </w:rPr>
      </w:pPr>
    </w:p>
    <w:tbl>
      <w:tblPr>
        <w:tblStyle w:val="TableGrid"/>
        <w:tblW w:w="9895" w:type="dxa"/>
        <w:tblLook w:val="04A0" w:firstRow="1" w:lastRow="0" w:firstColumn="1" w:lastColumn="0" w:noHBand="0" w:noVBand="1"/>
      </w:tblPr>
      <w:tblGrid>
        <w:gridCol w:w="2245"/>
        <w:gridCol w:w="7650"/>
      </w:tblGrid>
      <w:tr w:rsidR="00CD5878" w:rsidRPr="000602A6" w14:paraId="74907777" w14:textId="77777777" w:rsidTr="00935547">
        <w:trPr>
          <w:trHeight w:val="279"/>
        </w:trPr>
        <w:tc>
          <w:tcPr>
            <w:tcW w:w="9895" w:type="dxa"/>
            <w:gridSpan w:val="2"/>
            <w:shd w:val="clear" w:color="auto" w:fill="1F4E79" w:themeFill="accent1" w:themeFillShade="80"/>
          </w:tcPr>
          <w:p w14:paraId="60388D45" w14:textId="77777777" w:rsidR="00CD5878" w:rsidRPr="000602A6" w:rsidRDefault="008A101B" w:rsidP="00935547">
            <w:pPr>
              <w:jc w:val="center"/>
              <w:rPr>
                <w:rFonts w:ascii="Arial" w:hAnsi="Arial" w:cs="Arial"/>
                <w:b/>
                <w:color w:val="FFFFFF" w:themeColor="background1"/>
              </w:rPr>
            </w:pPr>
            <w:r>
              <w:rPr>
                <w:rFonts w:ascii="Arial" w:hAnsi="Arial" w:cs="Arial"/>
                <w:b/>
                <w:color w:val="FFFFFF" w:themeColor="background1"/>
              </w:rPr>
              <w:t>November 13</w:t>
            </w:r>
            <w:r w:rsidR="00CD5878">
              <w:rPr>
                <w:rFonts w:ascii="Arial" w:hAnsi="Arial" w:cs="Arial"/>
                <w:b/>
                <w:color w:val="FFFFFF" w:themeColor="background1"/>
              </w:rPr>
              <w:t>, 2019</w:t>
            </w:r>
          </w:p>
        </w:tc>
      </w:tr>
      <w:tr w:rsidR="00CD5878" w:rsidRPr="000602A6" w14:paraId="6EEC21B3" w14:textId="77777777" w:rsidTr="00935547">
        <w:trPr>
          <w:trHeight w:val="279"/>
        </w:trPr>
        <w:tc>
          <w:tcPr>
            <w:tcW w:w="2245" w:type="dxa"/>
            <w:shd w:val="clear" w:color="auto" w:fill="1F4E79" w:themeFill="accent1" w:themeFillShade="80"/>
          </w:tcPr>
          <w:p w14:paraId="6544038B"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14:paraId="7D48DA50" w14:textId="77777777" w:rsidR="00CD5878" w:rsidRPr="000602A6" w:rsidRDefault="008A101B" w:rsidP="00935547">
            <w:pPr>
              <w:rPr>
                <w:rFonts w:ascii="Arial" w:hAnsi="Arial" w:cs="Arial"/>
              </w:rPr>
            </w:pPr>
            <w:r>
              <w:rPr>
                <w:rFonts w:ascii="Arial" w:hAnsi="Arial" w:cs="Arial"/>
              </w:rPr>
              <w:t>Elizabethtown Gas Co.</w:t>
            </w:r>
          </w:p>
        </w:tc>
      </w:tr>
      <w:tr w:rsidR="00CD5878" w:rsidRPr="00B51D1F" w14:paraId="325E46F5" w14:textId="77777777" w:rsidTr="00935547">
        <w:trPr>
          <w:trHeight w:val="279"/>
        </w:trPr>
        <w:tc>
          <w:tcPr>
            <w:tcW w:w="2245" w:type="dxa"/>
            <w:shd w:val="clear" w:color="auto" w:fill="1F4E79" w:themeFill="accent1" w:themeFillShade="80"/>
          </w:tcPr>
          <w:p w14:paraId="73D5CCEE"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14:paraId="6C23BEDE" w14:textId="77777777" w:rsidR="00CD5878" w:rsidRPr="00B51D1F" w:rsidRDefault="008A101B" w:rsidP="00935547">
            <w:pPr>
              <w:rPr>
                <w:rFonts w:ascii="Arial" w:hAnsi="Arial" w:cs="Arial"/>
              </w:rPr>
            </w:pPr>
            <w:r>
              <w:rPr>
                <w:rFonts w:ascii="Arial" w:hAnsi="Arial" w:cs="Arial"/>
              </w:rPr>
              <w:t>New Jersey</w:t>
            </w:r>
          </w:p>
        </w:tc>
      </w:tr>
      <w:tr w:rsidR="00CD5878" w:rsidRPr="00B51D1F" w14:paraId="28F32135" w14:textId="77777777" w:rsidTr="00935547">
        <w:trPr>
          <w:trHeight w:val="263"/>
        </w:trPr>
        <w:tc>
          <w:tcPr>
            <w:tcW w:w="2245" w:type="dxa"/>
            <w:shd w:val="clear" w:color="auto" w:fill="1F4E79" w:themeFill="accent1" w:themeFillShade="80"/>
          </w:tcPr>
          <w:p w14:paraId="65D4E5AA"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14:paraId="337BA198" w14:textId="77777777" w:rsidR="00CD5878" w:rsidRPr="00B51D1F" w:rsidRDefault="00F103A3" w:rsidP="00935547">
            <w:pPr>
              <w:rPr>
                <w:rFonts w:ascii="Arial" w:hAnsi="Arial" w:cs="Arial"/>
                <w:color w:val="0000FF"/>
                <w:u w:val="single"/>
              </w:rPr>
            </w:pPr>
            <w:hyperlink r:id="rId20" w:history="1">
              <w:r w:rsidR="008A101B" w:rsidRPr="008A101B">
                <w:rPr>
                  <w:rStyle w:val="Hyperlink"/>
                  <w:rFonts w:ascii="Arial" w:hAnsi="Arial" w:cs="Arial"/>
                </w:rPr>
                <w:t>GR19040486</w:t>
              </w:r>
            </w:hyperlink>
          </w:p>
        </w:tc>
      </w:tr>
      <w:tr w:rsidR="00CD5878" w:rsidRPr="006A20C9" w14:paraId="174AB269" w14:textId="77777777" w:rsidTr="00935547">
        <w:trPr>
          <w:trHeight w:val="279"/>
        </w:trPr>
        <w:tc>
          <w:tcPr>
            <w:tcW w:w="2245" w:type="dxa"/>
            <w:shd w:val="clear" w:color="auto" w:fill="1F4E79" w:themeFill="accent1" w:themeFillShade="80"/>
          </w:tcPr>
          <w:p w14:paraId="124DB1B1"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14:paraId="49A6990F" w14:textId="77777777" w:rsidR="00CD5878" w:rsidRPr="006A20C9" w:rsidRDefault="00CD5878" w:rsidP="00935547">
            <w:pPr>
              <w:rPr>
                <w:rFonts w:ascii="Arial" w:hAnsi="Arial" w:cs="Arial"/>
              </w:rPr>
            </w:pPr>
            <w:r w:rsidRPr="006A20C9">
              <w:rPr>
                <w:rFonts w:ascii="Arial" w:hAnsi="Arial" w:cs="Arial"/>
              </w:rPr>
              <w:t>$</w:t>
            </w:r>
            <w:r w:rsidR="008A101B">
              <w:rPr>
                <w:rFonts w:ascii="Arial" w:hAnsi="Arial" w:cs="Arial"/>
              </w:rPr>
              <w:t>34,000,000</w:t>
            </w:r>
          </w:p>
        </w:tc>
      </w:tr>
      <w:tr w:rsidR="00CD5878" w:rsidRPr="00B51D1F" w14:paraId="772FAE32" w14:textId="77777777" w:rsidTr="00935547">
        <w:trPr>
          <w:trHeight w:val="263"/>
        </w:trPr>
        <w:tc>
          <w:tcPr>
            <w:tcW w:w="2245" w:type="dxa"/>
            <w:shd w:val="clear" w:color="auto" w:fill="1F4E79" w:themeFill="accent1" w:themeFillShade="80"/>
          </w:tcPr>
          <w:p w14:paraId="27AB3772"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14:paraId="6E7AC6F6" w14:textId="77777777" w:rsidR="00CD5878" w:rsidRPr="00B51D1F" w:rsidRDefault="008A101B" w:rsidP="00935547">
            <w:pPr>
              <w:rPr>
                <w:rFonts w:ascii="Arial" w:hAnsi="Arial" w:cs="Arial"/>
              </w:rPr>
            </w:pPr>
            <w:r>
              <w:rPr>
                <w:rFonts w:ascii="Arial" w:hAnsi="Arial" w:cs="Arial"/>
              </w:rPr>
              <w:t>9.6%</w:t>
            </w:r>
          </w:p>
        </w:tc>
      </w:tr>
      <w:tr w:rsidR="00CD5878" w:rsidRPr="00B51D1F" w14:paraId="03EABFCF" w14:textId="77777777" w:rsidTr="00935547">
        <w:trPr>
          <w:trHeight w:val="263"/>
        </w:trPr>
        <w:tc>
          <w:tcPr>
            <w:tcW w:w="2245" w:type="dxa"/>
            <w:shd w:val="clear" w:color="auto" w:fill="1F4E79" w:themeFill="accent1" w:themeFillShade="80"/>
          </w:tcPr>
          <w:p w14:paraId="7B3AA47A" w14:textId="77777777" w:rsidR="00CD5878" w:rsidRPr="00B51D1F" w:rsidRDefault="00CD5878" w:rsidP="00935547">
            <w:pPr>
              <w:rPr>
                <w:rFonts w:ascii="Arial" w:hAnsi="Arial" w:cs="Arial"/>
                <w:b/>
                <w:color w:val="FFFFFF" w:themeColor="background1"/>
              </w:rPr>
            </w:pPr>
            <w:r>
              <w:rPr>
                <w:rFonts w:ascii="Arial" w:hAnsi="Arial" w:cs="Arial"/>
                <w:b/>
                <w:color w:val="FFFFFF" w:themeColor="background1"/>
              </w:rPr>
              <w:t>Intervenors</w:t>
            </w:r>
          </w:p>
        </w:tc>
        <w:tc>
          <w:tcPr>
            <w:tcW w:w="7650" w:type="dxa"/>
          </w:tcPr>
          <w:p w14:paraId="13C4E751" w14:textId="77777777" w:rsidR="00CD5878" w:rsidRPr="00B51D1F" w:rsidRDefault="00CD5878" w:rsidP="00935547">
            <w:pPr>
              <w:rPr>
                <w:rFonts w:ascii="Arial" w:hAnsi="Arial" w:cs="Arial"/>
              </w:rPr>
            </w:pPr>
          </w:p>
        </w:tc>
      </w:tr>
      <w:tr w:rsidR="00CD5878" w:rsidRPr="00B51D1F" w14:paraId="58F3C14E" w14:textId="77777777" w:rsidTr="00935547">
        <w:trPr>
          <w:trHeight w:val="263"/>
        </w:trPr>
        <w:tc>
          <w:tcPr>
            <w:tcW w:w="9895" w:type="dxa"/>
            <w:gridSpan w:val="2"/>
            <w:shd w:val="clear" w:color="auto" w:fill="1F4E79" w:themeFill="accent1" w:themeFillShade="80"/>
          </w:tcPr>
          <w:p w14:paraId="5FCD1036" w14:textId="77777777" w:rsidR="00CD5878" w:rsidRPr="00B51D1F" w:rsidRDefault="00CD5878" w:rsidP="00935547">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CD5878" w:rsidRPr="00B51D1F" w14:paraId="79FFF936" w14:textId="77777777" w:rsidTr="00935547">
        <w:trPr>
          <w:trHeight w:val="263"/>
        </w:trPr>
        <w:tc>
          <w:tcPr>
            <w:tcW w:w="9895" w:type="dxa"/>
            <w:gridSpan w:val="2"/>
            <w:shd w:val="clear" w:color="auto" w:fill="FFFFFF" w:themeFill="background1"/>
          </w:tcPr>
          <w:p w14:paraId="1A4BB770" w14:textId="77777777" w:rsidR="005D0D81" w:rsidRPr="005D0D81" w:rsidRDefault="005D0D81" w:rsidP="005D0D81">
            <w:pPr>
              <w:tabs>
                <w:tab w:val="left" w:pos="240"/>
                <w:tab w:val="center" w:pos="4839"/>
              </w:tabs>
              <w:rPr>
                <w:rFonts w:ascii="Arial" w:hAnsi="Arial" w:cs="Arial"/>
              </w:rPr>
            </w:pPr>
            <w:r w:rsidRPr="005D0D81">
              <w:rPr>
                <w:rFonts w:ascii="Arial" w:hAnsi="Arial" w:cs="Arial"/>
              </w:rPr>
              <w:t>At its Nov. 13 open meeting, the New Jersey Board of Public Utilities voted unanimously to adopt a settlement authorizing Elizabethtown Gas Co. a $34 million, or 11.26%, gas rate increase, versus the $65.5 million increase supported by the company prior to the settlement.</w:t>
            </w:r>
          </w:p>
          <w:p w14:paraId="65C8FEF4" w14:textId="77777777" w:rsidR="005D0D81" w:rsidRPr="005D0D81" w:rsidRDefault="005D0D81" w:rsidP="005D0D81">
            <w:pPr>
              <w:tabs>
                <w:tab w:val="left" w:pos="240"/>
                <w:tab w:val="center" w:pos="4839"/>
              </w:tabs>
              <w:rPr>
                <w:rFonts w:ascii="Arial" w:hAnsi="Arial" w:cs="Arial"/>
              </w:rPr>
            </w:pPr>
          </w:p>
          <w:p w14:paraId="6AE9CA7A" w14:textId="77777777" w:rsidR="005D0D81" w:rsidRPr="005D0D81" w:rsidRDefault="005D0D81" w:rsidP="005D0D81">
            <w:pPr>
              <w:tabs>
                <w:tab w:val="left" w:pos="240"/>
                <w:tab w:val="center" w:pos="4839"/>
              </w:tabs>
              <w:rPr>
                <w:rFonts w:ascii="Arial" w:hAnsi="Arial" w:cs="Arial"/>
              </w:rPr>
            </w:pPr>
            <w:r w:rsidRPr="005D0D81">
              <w:rPr>
                <w:rFonts w:ascii="Arial" w:hAnsi="Arial" w:cs="Arial"/>
              </w:rPr>
              <w:t xml:space="preserve">The new rates are to become effective for service rendered on and after Nov. 15, several weeks before new rates would likely have been implemented had the settlement not been reached. The procedural schedule had called for hearings to be held in mid-November. </w:t>
            </w:r>
            <w:proofErr w:type="gramStart"/>
            <w:r w:rsidRPr="005D0D81">
              <w:rPr>
                <w:rFonts w:ascii="Arial" w:hAnsi="Arial" w:cs="Arial"/>
              </w:rPr>
              <w:t>Thus</w:t>
            </w:r>
            <w:proofErr w:type="gramEnd"/>
            <w:r w:rsidRPr="005D0D81">
              <w:rPr>
                <w:rFonts w:ascii="Arial" w:hAnsi="Arial" w:cs="Arial"/>
              </w:rPr>
              <w:t xml:space="preserve"> under a fully litigated scenario, a decision was not likely to have been rendered until year-end 2019 at the earliest.</w:t>
            </w:r>
          </w:p>
          <w:p w14:paraId="2609A37B" w14:textId="77777777" w:rsidR="005D0D81" w:rsidRPr="005D0D81" w:rsidRDefault="005D0D81" w:rsidP="005D0D81">
            <w:pPr>
              <w:tabs>
                <w:tab w:val="left" w:pos="240"/>
                <w:tab w:val="center" w:pos="4839"/>
              </w:tabs>
              <w:rPr>
                <w:rFonts w:ascii="Arial" w:hAnsi="Arial" w:cs="Arial"/>
              </w:rPr>
            </w:pPr>
          </w:p>
          <w:p w14:paraId="5AD17495" w14:textId="77777777" w:rsidR="00CD5878" w:rsidRPr="005D0D81" w:rsidRDefault="005D0D81" w:rsidP="005D0D81">
            <w:pPr>
              <w:tabs>
                <w:tab w:val="left" w:pos="240"/>
                <w:tab w:val="center" w:pos="4839"/>
              </w:tabs>
              <w:rPr>
                <w:rFonts w:ascii="Arial" w:hAnsi="Arial" w:cs="Arial"/>
              </w:rPr>
            </w:pPr>
            <w:r w:rsidRPr="005D0D81">
              <w:rPr>
                <w:rFonts w:ascii="Arial" w:hAnsi="Arial" w:cs="Arial"/>
              </w:rPr>
              <w:t>The stipulated revenue requirement reflects a 9.6% return on equity (51.5% of a hypothetical capital structure) and a 7.131% return on year-end rate base valued at $988.3 million for a test year ended Aug. 31, 2019.</w:t>
            </w:r>
          </w:p>
          <w:p w14:paraId="30725C3C" w14:textId="77777777" w:rsidR="005D0D81" w:rsidRPr="005D0D81" w:rsidRDefault="005D0D81" w:rsidP="005D0D81">
            <w:pPr>
              <w:tabs>
                <w:tab w:val="left" w:pos="240"/>
                <w:tab w:val="center" w:pos="4839"/>
              </w:tabs>
              <w:rPr>
                <w:rFonts w:ascii="Arial" w:hAnsi="Arial" w:cs="Arial"/>
              </w:rPr>
            </w:pPr>
          </w:p>
          <w:p w14:paraId="2E49370D" w14:textId="77777777" w:rsidR="005D0D81" w:rsidRPr="005D0D81" w:rsidRDefault="005D0D81" w:rsidP="005D0D81">
            <w:pPr>
              <w:tabs>
                <w:tab w:val="left" w:pos="240"/>
                <w:tab w:val="center" w:pos="4839"/>
              </w:tabs>
              <w:rPr>
                <w:rFonts w:ascii="Arial" w:hAnsi="Arial" w:cs="Arial"/>
              </w:rPr>
            </w:pPr>
            <w:r w:rsidRPr="005D0D81">
              <w:rPr>
                <w:rFonts w:ascii="Arial" w:hAnsi="Arial" w:cs="Arial"/>
              </w:rPr>
              <w:t>Under the approved agreement, Elizabethtown Gas, or ETG, is to create a regulatory asset for incremental integrity management program costs for activities required by federal regulations. Recovery of any such asset, including a prudence review of the expenditures, would be addressed in ETG's next base rate case.</w:t>
            </w:r>
          </w:p>
          <w:p w14:paraId="49D1AB9D" w14:textId="77777777" w:rsidR="005D0D81" w:rsidRPr="005D0D81" w:rsidRDefault="005D0D81" w:rsidP="005D0D81">
            <w:pPr>
              <w:tabs>
                <w:tab w:val="left" w:pos="240"/>
                <w:tab w:val="center" w:pos="4839"/>
              </w:tabs>
              <w:rPr>
                <w:rFonts w:ascii="Arial" w:hAnsi="Arial" w:cs="Arial"/>
              </w:rPr>
            </w:pPr>
          </w:p>
          <w:p w14:paraId="0BB1813A" w14:textId="77777777" w:rsidR="005D0D81" w:rsidRPr="005D0D81" w:rsidRDefault="005D0D81" w:rsidP="005D0D81">
            <w:pPr>
              <w:tabs>
                <w:tab w:val="left" w:pos="240"/>
                <w:tab w:val="center" w:pos="4839"/>
              </w:tabs>
              <w:rPr>
                <w:rFonts w:ascii="Arial" w:hAnsi="Arial" w:cs="Arial"/>
              </w:rPr>
            </w:pPr>
            <w:r w:rsidRPr="005D0D81">
              <w:rPr>
                <w:rFonts w:ascii="Arial" w:hAnsi="Arial" w:cs="Arial"/>
              </w:rPr>
              <w:t>The agreement and order provide for ETG to increase fixed monthly charges for residential customers to $9.38 from $7.68 and for small general service customers to $25.33 from $20.56.</w:t>
            </w:r>
          </w:p>
          <w:p w14:paraId="33B743B8" w14:textId="77777777" w:rsidR="005D0D81" w:rsidRPr="005D0D81" w:rsidRDefault="005D0D81" w:rsidP="005D0D81">
            <w:pPr>
              <w:tabs>
                <w:tab w:val="left" w:pos="240"/>
                <w:tab w:val="center" w:pos="4839"/>
              </w:tabs>
              <w:rPr>
                <w:rFonts w:ascii="Arial" w:hAnsi="Arial" w:cs="Arial"/>
              </w:rPr>
            </w:pPr>
          </w:p>
          <w:p w14:paraId="18ADC5C9" w14:textId="77777777" w:rsidR="005D0D81" w:rsidRPr="005D0D81" w:rsidRDefault="005D0D81" w:rsidP="005D0D81">
            <w:pPr>
              <w:tabs>
                <w:tab w:val="left" w:pos="240"/>
                <w:tab w:val="center" w:pos="4839"/>
              </w:tabs>
              <w:rPr>
                <w:rFonts w:ascii="Arial" w:hAnsi="Arial" w:cs="Arial"/>
              </w:rPr>
            </w:pPr>
            <w:r w:rsidRPr="005D0D81">
              <w:rPr>
                <w:rFonts w:ascii="Arial" w:hAnsi="Arial" w:cs="Arial"/>
              </w:rPr>
              <w:t>Parties to the agreement include ETG, the New Jersey Division of Rate Counsel and the BPU staff; there were no other parties to the proceeding.</w:t>
            </w:r>
          </w:p>
          <w:p w14:paraId="5D895EA0" w14:textId="77777777" w:rsidR="00CD5878" w:rsidRPr="00B51D1F" w:rsidRDefault="00CD5878" w:rsidP="00935547">
            <w:pPr>
              <w:tabs>
                <w:tab w:val="left" w:pos="240"/>
                <w:tab w:val="center" w:pos="4839"/>
              </w:tabs>
              <w:rPr>
                <w:rFonts w:ascii="Arial" w:hAnsi="Arial" w:cs="Arial"/>
              </w:rPr>
            </w:pPr>
          </w:p>
        </w:tc>
      </w:tr>
    </w:tbl>
    <w:p w14:paraId="6C088BB1" w14:textId="77777777" w:rsidR="00CD5878" w:rsidRDefault="00CD5878" w:rsidP="009965F4">
      <w:pPr>
        <w:rPr>
          <w:rFonts w:ascii="Arial" w:hAnsi="Arial" w:cs="Arial"/>
          <w:i/>
          <w:iCs/>
          <w:color w:val="000000"/>
          <w:sz w:val="18"/>
          <w:szCs w:val="18"/>
        </w:rPr>
      </w:pPr>
    </w:p>
    <w:tbl>
      <w:tblPr>
        <w:tblStyle w:val="TableGrid"/>
        <w:tblW w:w="9895" w:type="dxa"/>
        <w:tblLook w:val="04A0" w:firstRow="1" w:lastRow="0" w:firstColumn="1" w:lastColumn="0" w:noHBand="0" w:noVBand="1"/>
      </w:tblPr>
      <w:tblGrid>
        <w:gridCol w:w="2245"/>
        <w:gridCol w:w="7650"/>
      </w:tblGrid>
      <w:tr w:rsidR="00CD5878" w:rsidRPr="000602A6" w14:paraId="2D0FF379" w14:textId="77777777" w:rsidTr="00935547">
        <w:trPr>
          <w:trHeight w:val="279"/>
        </w:trPr>
        <w:tc>
          <w:tcPr>
            <w:tcW w:w="9895" w:type="dxa"/>
            <w:gridSpan w:val="2"/>
            <w:shd w:val="clear" w:color="auto" w:fill="1F4E79" w:themeFill="accent1" w:themeFillShade="80"/>
          </w:tcPr>
          <w:p w14:paraId="1EE407E7" w14:textId="77777777" w:rsidR="00CD5878" w:rsidRPr="000602A6" w:rsidRDefault="005D0D81" w:rsidP="00935547">
            <w:pPr>
              <w:jc w:val="center"/>
              <w:rPr>
                <w:rFonts w:ascii="Arial" w:hAnsi="Arial" w:cs="Arial"/>
                <w:b/>
                <w:color w:val="FFFFFF" w:themeColor="background1"/>
              </w:rPr>
            </w:pPr>
            <w:r>
              <w:rPr>
                <w:rFonts w:ascii="Arial" w:hAnsi="Arial" w:cs="Arial"/>
                <w:b/>
                <w:color w:val="FFFFFF" w:themeColor="background1"/>
              </w:rPr>
              <w:t>November</w:t>
            </w:r>
            <w:r w:rsidR="00CD5878">
              <w:rPr>
                <w:rFonts w:ascii="Arial" w:hAnsi="Arial" w:cs="Arial"/>
                <w:b/>
                <w:color w:val="FFFFFF" w:themeColor="background1"/>
              </w:rPr>
              <w:t xml:space="preserve"> 2</w:t>
            </w:r>
            <w:r>
              <w:rPr>
                <w:rFonts w:ascii="Arial" w:hAnsi="Arial" w:cs="Arial"/>
                <w:b/>
                <w:color w:val="FFFFFF" w:themeColor="background1"/>
              </w:rPr>
              <w:t>1</w:t>
            </w:r>
            <w:r w:rsidR="00CD5878">
              <w:rPr>
                <w:rFonts w:ascii="Arial" w:hAnsi="Arial" w:cs="Arial"/>
                <w:b/>
                <w:color w:val="FFFFFF" w:themeColor="background1"/>
              </w:rPr>
              <w:t>, 2019</w:t>
            </w:r>
          </w:p>
        </w:tc>
      </w:tr>
      <w:tr w:rsidR="00CD5878" w:rsidRPr="000602A6" w14:paraId="76BAF006" w14:textId="77777777" w:rsidTr="00935547">
        <w:trPr>
          <w:trHeight w:val="279"/>
        </w:trPr>
        <w:tc>
          <w:tcPr>
            <w:tcW w:w="2245" w:type="dxa"/>
            <w:shd w:val="clear" w:color="auto" w:fill="1F4E79" w:themeFill="accent1" w:themeFillShade="80"/>
          </w:tcPr>
          <w:p w14:paraId="57FC3888"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14:paraId="02118F81" w14:textId="77777777" w:rsidR="00CD5878" w:rsidRPr="000602A6" w:rsidRDefault="005D0D81" w:rsidP="00935547">
            <w:pPr>
              <w:rPr>
                <w:rFonts w:ascii="Arial" w:hAnsi="Arial" w:cs="Arial"/>
              </w:rPr>
            </w:pPr>
            <w:r>
              <w:rPr>
                <w:rFonts w:ascii="Arial" w:hAnsi="Arial" w:cs="Arial"/>
              </w:rPr>
              <w:t>Kansas Gas Service Co.</w:t>
            </w:r>
          </w:p>
        </w:tc>
      </w:tr>
      <w:tr w:rsidR="00CD5878" w:rsidRPr="00B51D1F" w14:paraId="0A54460F" w14:textId="77777777" w:rsidTr="00935547">
        <w:trPr>
          <w:trHeight w:val="279"/>
        </w:trPr>
        <w:tc>
          <w:tcPr>
            <w:tcW w:w="2245" w:type="dxa"/>
            <w:shd w:val="clear" w:color="auto" w:fill="1F4E79" w:themeFill="accent1" w:themeFillShade="80"/>
          </w:tcPr>
          <w:p w14:paraId="7C96FDCE"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14:paraId="4793C0B2" w14:textId="77777777" w:rsidR="00CD5878" w:rsidRPr="00B51D1F" w:rsidRDefault="005D0D81" w:rsidP="00935547">
            <w:pPr>
              <w:rPr>
                <w:rFonts w:ascii="Arial" w:hAnsi="Arial" w:cs="Arial"/>
              </w:rPr>
            </w:pPr>
            <w:r>
              <w:rPr>
                <w:rFonts w:ascii="Arial" w:hAnsi="Arial" w:cs="Arial"/>
              </w:rPr>
              <w:t>Kansas</w:t>
            </w:r>
          </w:p>
        </w:tc>
      </w:tr>
      <w:tr w:rsidR="00CD5878" w:rsidRPr="00B51D1F" w14:paraId="757082E6" w14:textId="77777777" w:rsidTr="00935547">
        <w:trPr>
          <w:trHeight w:val="263"/>
        </w:trPr>
        <w:tc>
          <w:tcPr>
            <w:tcW w:w="2245" w:type="dxa"/>
            <w:shd w:val="clear" w:color="auto" w:fill="1F4E79" w:themeFill="accent1" w:themeFillShade="80"/>
          </w:tcPr>
          <w:p w14:paraId="5E10554F"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14:paraId="33A5A9D1" w14:textId="77777777" w:rsidR="00CD5878" w:rsidRPr="00B51D1F" w:rsidRDefault="00F103A3" w:rsidP="00935547">
            <w:pPr>
              <w:rPr>
                <w:rFonts w:ascii="Arial" w:hAnsi="Arial" w:cs="Arial"/>
                <w:color w:val="0000FF"/>
                <w:u w:val="single"/>
              </w:rPr>
            </w:pPr>
            <w:hyperlink r:id="rId21" w:history="1">
              <w:r w:rsidR="005D0D81" w:rsidRPr="005D0D81">
                <w:rPr>
                  <w:rStyle w:val="Hyperlink"/>
                  <w:rFonts w:ascii="Arial" w:hAnsi="Arial" w:cs="Arial"/>
                </w:rPr>
                <w:t>20</w:t>
              </w:r>
              <w:r w:rsidR="005D0D81" w:rsidRPr="005D0D81">
                <w:rPr>
                  <w:rStyle w:val="Hyperlink"/>
                  <w:rFonts w:ascii="Cambria Math" w:hAnsi="Cambria Math" w:cs="Cambria Math"/>
                </w:rPr>
                <w:t>‐</w:t>
              </w:r>
              <w:r w:rsidR="005D0D81" w:rsidRPr="005D0D81">
                <w:rPr>
                  <w:rStyle w:val="Hyperlink"/>
                  <w:rFonts w:ascii="Arial" w:hAnsi="Arial" w:cs="Arial"/>
                </w:rPr>
                <w:t>KGSG</w:t>
              </w:r>
              <w:r w:rsidR="005D0D81" w:rsidRPr="005D0D81">
                <w:rPr>
                  <w:rStyle w:val="Hyperlink"/>
                  <w:rFonts w:ascii="Cambria Math" w:hAnsi="Cambria Math" w:cs="Cambria Math"/>
                </w:rPr>
                <w:t>‐</w:t>
              </w:r>
              <w:r w:rsidR="005D0D81" w:rsidRPr="005D0D81">
                <w:rPr>
                  <w:rStyle w:val="Hyperlink"/>
                  <w:rFonts w:ascii="Arial" w:hAnsi="Arial" w:cs="Arial"/>
                </w:rPr>
                <w:t>090</w:t>
              </w:r>
              <w:r w:rsidR="005D0D81" w:rsidRPr="005D0D81">
                <w:rPr>
                  <w:rStyle w:val="Hyperlink"/>
                  <w:rFonts w:ascii="Cambria Math" w:hAnsi="Cambria Math" w:cs="Cambria Math"/>
                </w:rPr>
                <w:t>‐</w:t>
              </w:r>
              <w:r w:rsidR="005D0D81" w:rsidRPr="005D0D81">
                <w:rPr>
                  <w:rStyle w:val="Hyperlink"/>
                  <w:rFonts w:ascii="Arial" w:hAnsi="Arial" w:cs="Arial"/>
                </w:rPr>
                <w:t>TAR</w:t>
              </w:r>
            </w:hyperlink>
          </w:p>
        </w:tc>
      </w:tr>
      <w:tr w:rsidR="00CD5878" w:rsidRPr="006A20C9" w14:paraId="31E219DD" w14:textId="77777777" w:rsidTr="00935547">
        <w:trPr>
          <w:trHeight w:val="279"/>
        </w:trPr>
        <w:tc>
          <w:tcPr>
            <w:tcW w:w="2245" w:type="dxa"/>
            <w:shd w:val="clear" w:color="auto" w:fill="1F4E79" w:themeFill="accent1" w:themeFillShade="80"/>
          </w:tcPr>
          <w:p w14:paraId="785AB8CC"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14:paraId="4B706511" w14:textId="77777777" w:rsidR="00CD5878" w:rsidRPr="006A20C9" w:rsidRDefault="005D0D81" w:rsidP="00935547">
            <w:pPr>
              <w:rPr>
                <w:rFonts w:ascii="Arial" w:hAnsi="Arial" w:cs="Arial"/>
              </w:rPr>
            </w:pPr>
            <w:r>
              <w:rPr>
                <w:rFonts w:ascii="Arial" w:hAnsi="Arial" w:cs="Arial"/>
              </w:rPr>
              <w:t>$4,200,000</w:t>
            </w:r>
          </w:p>
        </w:tc>
      </w:tr>
      <w:tr w:rsidR="00CD5878" w:rsidRPr="00B51D1F" w14:paraId="1732B663" w14:textId="77777777" w:rsidTr="00935547">
        <w:trPr>
          <w:trHeight w:val="263"/>
        </w:trPr>
        <w:tc>
          <w:tcPr>
            <w:tcW w:w="2245" w:type="dxa"/>
            <w:shd w:val="clear" w:color="auto" w:fill="1F4E79" w:themeFill="accent1" w:themeFillShade="80"/>
          </w:tcPr>
          <w:p w14:paraId="4A070136"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14:paraId="09C64ADD" w14:textId="77777777" w:rsidR="00CD5878" w:rsidRPr="00B51D1F" w:rsidRDefault="005D0D81" w:rsidP="00935547">
            <w:pPr>
              <w:rPr>
                <w:rFonts w:ascii="Arial" w:hAnsi="Arial" w:cs="Arial"/>
              </w:rPr>
            </w:pPr>
            <w:r>
              <w:rPr>
                <w:rFonts w:ascii="Arial" w:hAnsi="Arial" w:cs="Arial"/>
              </w:rPr>
              <w:t>n/a</w:t>
            </w:r>
          </w:p>
        </w:tc>
      </w:tr>
      <w:tr w:rsidR="00CD5878" w:rsidRPr="00B51D1F" w14:paraId="27C30D82" w14:textId="77777777" w:rsidTr="00935547">
        <w:trPr>
          <w:trHeight w:val="263"/>
        </w:trPr>
        <w:tc>
          <w:tcPr>
            <w:tcW w:w="2245" w:type="dxa"/>
            <w:shd w:val="clear" w:color="auto" w:fill="1F4E79" w:themeFill="accent1" w:themeFillShade="80"/>
          </w:tcPr>
          <w:p w14:paraId="0F8BACFD" w14:textId="77777777" w:rsidR="00CD5878" w:rsidRPr="00B51D1F" w:rsidRDefault="00CD5878" w:rsidP="00935547">
            <w:pPr>
              <w:rPr>
                <w:rFonts w:ascii="Arial" w:hAnsi="Arial" w:cs="Arial"/>
                <w:b/>
                <w:color w:val="FFFFFF" w:themeColor="background1"/>
              </w:rPr>
            </w:pPr>
            <w:r>
              <w:rPr>
                <w:rFonts w:ascii="Arial" w:hAnsi="Arial" w:cs="Arial"/>
                <w:b/>
                <w:color w:val="FFFFFF" w:themeColor="background1"/>
              </w:rPr>
              <w:t>Intervenors</w:t>
            </w:r>
          </w:p>
        </w:tc>
        <w:tc>
          <w:tcPr>
            <w:tcW w:w="7650" w:type="dxa"/>
          </w:tcPr>
          <w:p w14:paraId="7C782226" w14:textId="77777777" w:rsidR="00CD5878" w:rsidRPr="00B51D1F" w:rsidRDefault="00CD5878" w:rsidP="00935547">
            <w:pPr>
              <w:rPr>
                <w:rFonts w:ascii="Arial" w:hAnsi="Arial" w:cs="Arial"/>
              </w:rPr>
            </w:pPr>
          </w:p>
        </w:tc>
      </w:tr>
      <w:tr w:rsidR="00CD5878" w:rsidRPr="00B51D1F" w14:paraId="2AD79A21" w14:textId="77777777" w:rsidTr="00935547">
        <w:trPr>
          <w:trHeight w:val="263"/>
        </w:trPr>
        <w:tc>
          <w:tcPr>
            <w:tcW w:w="9895" w:type="dxa"/>
            <w:gridSpan w:val="2"/>
            <w:shd w:val="clear" w:color="auto" w:fill="1F4E79" w:themeFill="accent1" w:themeFillShade="80"/>
          </w:tcPr>
          <w:p w14:paraId="00E9F7E4" w14:textId="77777777" w:rsidR="00CD5878" w:rsidRPr="00B51D1F" w:rsidRDefault="00CD5878" w:rsidP="00935547">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CD5878" w:rsidRPr="00B51D1F" w14:paraId="4983196A" w14:textId="77777777" w:rsidTr="00935547">
        <w:trPr>
          <w:trHeight w:val="263"/>
        </w:trPr>
        <w:tc>
          <w:tcPr>
            <w:tcW w:w="9895" w:type="dxa"/>
            <w:gridSpan w:val="2"/>
            <w:shd w:val="clear" w:color="auto" w:fill="FFFFFF" w:themeFill="background1"/>
          </w:tcPr>
          <w:p w14:paraId="2C40B597" w14:textId="77777777" w:rsidR="00CD5878" w:rsidRPr="00B51D1F" w:rsidRDefault="005D0D81" w:rsidP="00935547">
            <w:pPr>
              <w:tabs>
                <w:tab w:val="left" w:pos="240"/>
                <w:tab w:val="center" w:pos="4839"/>
              </w:tabs>
              <w:rPr>
                <w:rFonts w:ascii="Arial" w:hAnsi="Arial" w:cs="Arial"/>
              </w:rPr>
            </w:pPr>
            <w:r>
              <w:rPr>
                <w:rFonts w:ascii="Arial" w:hAnsi="Arial" w:cs="Arial"/>
              </w:rPr>
              <w:lastRenderedPageBreak/>
              <w:t xml:space="preserve">On November 21, 2019 the Kansas Corporation Commission approved changes to Kansas Gas Service’s gas system reliability surcharge. The rate adjustments under this surcharge are calculated using a 9.0984% carrying charge that is “gross of tax.” </w:t>
            </w:r>
          </w:p>
        </w:tc>
      </w:tr>
    </w:tbl>
    <w:p w14:paraId="4572D881" w14:textId="77777777" w:rsidR="00CD5878" w:rsidRDefault="00CD5878" w:rsidP="009965F4">
      <w:pPr>
        <w:rPr>
          <w:rFonts w:ascii="Arial" w:hAnsi="Arial" w:cs="Arial"/>
          <w:i/>
          <w:iCs/>
          <w:color w:val="000000"/>
          <w:sz w:val="18"/>
          <w:szCs w:val="18"/>
        </w:rPr>
      </w:pPr>
    </w:p>
    <w:tbl>
      <w:tblPr>
        <w:tblStyle w:val="TableGrid"/>
        <w:tblW w:w="9895" w:type="dxa"/>
        <w:tblLook w:val="04A0" w:firstRow="1" w:lastRow="0" w:firstColumn="1" w:lastColumn="0" w:noHBand="0" w:noVBand="1"/>
      </w:tblPr>
      <w:tblGrid>
        <w:gridCol w:w="2245"/>
        <w:gridCol w:w="7650"/>
      </w:tblGrid>
      <w:tr w:rsidR="00CD5878" w:rsidRPr="000602A6" w14:paraId="3336913F" w14:textId="77777777" w:rsidTr="00935547">
        <w:trPr>
          <w:trHeight w:val="279"/>
        </w:trPr>
        <w:tc>
          <w:tcPr>
            <w:tcW w:w="9895" w:type="dxa"/>
            <w:gridSpan w:val="2"/>
            <w:shd w:val="clear" w:color="auto" w:fill="1F4E79" w:themeFill="accent1" w:themeFillShade="80"/>
          </w:tcPr>
          <w:p w14:paraId="61E898B0" w14:textId="77777777" w:rsidR="00CD5878" w:rsidRPr="000602A6" w:rsidRDefault="005D0D81" w:rsidP="00935547">
            <w:pPr>
              <w:jc w:val="center"/>
              <w:rPr>
                <w:rFonts w:ascii="Arial" w:hAnsi="Arial" w:cs="Arial"/>
                <w:b/>
                <w:color w:val="FFFFFF" w:themeColor="background1"/>
              </w:rPr>
            </w:pPr>
            <w:r>
              <w:rPr>
                <w:rFonts w:ascii="Arial" w:hAnsi="Arial" w:cs="Arial"/>
                <w:b/>
                <w:color w:val="FFFFFF" w:themeColor="background1"/>
              </w:rPr>
              <w:t>November 26,</w:t>
            </w:r>
            <w:r w:rsidR="00CD5878">
              <w:rPr>
                <w:rFonts w:ascii="Arial" w:hAnsi="Arial" w:cs="Arial"/>
                <w:b/>
                <w:color w:val="FFFFFF" w:themeColor="background1"/>
              </w:rPr>
              <w:t xml:space="preserve"> 2019</w:t>
            </w:r>
          </w:p>
        </w:tc>
      </w:tr>
      <w:tr w:rsidR="00CD5878" w:rsidRPr="000602A6" w14:paraId="635981A6" w14:textId="77777777" w:rsidTr="00935547">
        <w:trPr>
          <w:trHeight w:val="279"/>
        </w:trPr>
        <w:tc>
          <w:tcPr>
            <w:tcW w:w="2245" w:type="dxa"/>
            <w:shd w:val="clear" w:color="auto" w:fill="1F4E79" w:themeFill="accent1" w:themeFillShade="80"/>
          </w:tcPr>
          <w:p w14:paraId="4F6EFAA6"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14:paraId="6F928732" w14:textId="77777777" w:rsidR="00CD5878" w:rsidRPr="000602A6" w:rsidRDefault="005D0D81" w:rsidP="00935547">
            <w:pPr>
              <w:rPr>
                <w:rFonts w:ascii="Arial" w:hAnsi="Arial" w:cs="Arial"/>
              </w:rPr>
            </w:pPr>
            <w:r>
              <w:rPr>
                <w:rFonts w:ascii="Arial" w:hAnsi="Arial" w:cs="Arial"/>
              </w:rPr>
              <w:t>Washington Gas</w:t>
            </w:r>
            <w:r w:rsidR="00E55956">
              <w:rPr>
                <w:rFonts w:ascii="Arial" w:hAnsi="Arial" w:cs="Arial"/>
              </w:rPr>
              <w:t xml:space="preserve"> </w:t>
            </w:r>
            <w:r>
              <w:rPr>
                <w:rFonts w:ascii="Arial" w:hAnsi="Arial" w:cs="Arial"/>
              </w:rPr>
              <w:t>Light Co.</w:t>
            </w:r>
          </w:p>
        </w:tc>
      </w:tr>
      <w:tr w:rsidR="00CD5878" w:rsidRPr="00B51D1F" w14:paraId="070415B4" w14:textId="77777777" w:rsidTr="00935547">
        <w:trPr>
          <w:trHeight w:val="279"/>
        </w:trPr>
        <w:tc>
          <w:tcPr>
            <w:tcW w:w="2245" w:type="dxa"/>
            <w:shd w:val="clear" w:color="auto" w:fill="1F4E79" w:themeFill="accent1" w:themeFillShade="80"/>
          </w:tcPr>
          <w:p w14:paraId="7BCF9A23"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14:paraId="665932F0" w14:textId="77777777" w:rsidR="00CD5878" w:rsidRPr="00B51D1F" w:rsidRDefault="00E55956" w:rsidP="00935547">
            <w:pPr>
              <w:rPr>
                <w:rFonts w:ascii="Arial" w:hAnsi="Arial" w:cs="Arial"/>
              </w:rPr>
            </w:pPr>
            <w:r>
              <w:rPr>
                <w:rFonts w:ascii="Arial" w:hAnsi="Arial" w:cs="Arial"/>
              </w:rPr>
              <w:t>Virginia</w:t>
            </w:r>
          </w:p>
        </w:tc>
      </w:tr>
      <w:tr w:rsidR="00CD5878" w:rsidRPr="00B51D1F" w14:paraId="664322EB" w14:textId="77777777" w:rsidTr="00935547">
        <w:trPr>
          <w:trHeight w:val="263"/>
        </w:trPr>
        <w:tc>
          <w:tcPr>
            <w:tcW w:w="2245" w:type="dxa"/>
            <w:shd w:val="clear" w:color="auto" w:fill="1F4E79" w:themeFill="accent1" w:themeFillShade="80"/>
          </w:tcPr>
          <w:p w14:paraId="42C15F2D"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14:paraId="0F6D1173" w14:textId="77777777" w:rsidR="00CD5878" w:rsidRPr="00B51D1F" w:rsidRDefault="00F103A3" w:rsidP="00935547">
            <w:pPr>
              <w:rPr>
                <w:rFonts w:ascii="Arial" w:hAnsi="Arial" w:cs="Arial"/>
                <w:color w:val="0000FF"/>
                <w:u w:val="single"/>
              </w:rPr>
            </w:pPr>
            <w:hyperlink r:id="rId22" w:anchor="caseDetails/140046" w:history="1">
              <w:r w:rsidR="00E55956" w:rsidRPr="00E55956">
                <w:rPr>
                  <w:rStyle w:val="Hyperlink"/>
                  <w:rFonts w:ascii="Arial" w:hAnsi="Arial" w:cs="Arial"/>
                </w:rPr>
                <w:t>PUR-2019-00142</w:t>
              </w:r>
            </w:hyperlink>
          </w:p>
        </w:tc>
      </w:tr>
      <w:tr w:rsidR="00CD5878" w:rsidRPr="006A20C9" w14:paraId="3EAA72EB" w14:textId="77777777" w:rsidTr="00935547">
        <w:trPr>
          <w:trHeight w:val="279"/>
        </w:trPr>
        <w:tc>
          <w:tcPr>
            <w:tcW w:w="2245" w:type="dxa"/>
            <w:shd w:val="clear" w:color="auto" w:fill="1F4E79" w:themeFill="accent1" w:themeFillShade="80"/>
          </w:tcPr>
          <w:p w14:paraId="389F8FC7"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14:paraId="5C5B892D" w14:textId="77777777" w:rsidR="00CD5878" w:rsidRPr="006A20C9" w:rsidRDefault="00E55956" w:rsidP="00935547">
            <w:pPr>
              <w:rPr>
                <w:rFonts w:ascii="Arial" w:hAnsi="Arial" w:cs="Arial"/>
              </w:rPr>
            </w:pPr>
            <w:r>
              <w:rPr>
                <w:rFonts w:ascii="Arial" w:hAnsi="Arial" w:cs="Arial"/>
              </w:rPr>
              <w:t>$12,400,000</w:t>
            </w:r>
          </w:p>
        </w:tc>
      </w:tr>
      <w:tr w:rsidR="00CD5878" w:rsidRPr="00B51D1F" w14:paraId="73516856" w14:textId="77777777" w:rsidTr="00935547">
        <w:trPr>
          <w:trHeight w:val="263"/>
        </w:trPr>
        <w:tc>
          <w:tcPr>
            <w:tcW w:w="2245" w:type="dxa"/>
            <w:shd w:val="clear" w:color="auto" w:fill="1F4E79" w:themeFill="accent1" w:themeFillShade="80"/>
          </w:tcPr>
          <w:p w14:paraId="2C07669B"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14:paraId="32F81BDB" w14:textId="77777777" w:rsidR="00CD5878" w:rsidRPr="00B51D1F" w:rsidRDefault="00E55956" w:rsidP="00935547">
            <w:pPr>
              <w:rPr>
                <w:rFonts w:ascii="Arial" w:hAnsi="Arial" w:cs="Arial"/>
              </w:rPr>
            </w:pPr>
            <w:r>
              <w:rPr>
                <w:rFonts w:ascii="Arial" w:hAnsi="Arial" w:cs="Arial"/>
              </w:rPr>
              <w:t>N/A</w:t>
            </w:r>
          </w:p>
        </w:tc>
      </w:tr>
      <w:tr w:rsidR="00CD5878" w:rsidRPr="00B51D1F" w14:paraId="4DA1AE99" w14:textId="77777777" w:rsidTr="00935547">
        <w:trPr>
          <w:trHeight w:val="263"/>
        </w:trPr>
        <w:tc>
          <w:tcPr>
            <w:tcW w:w="2245" w:type="dxa"/>
            <w:shd w:val="clear" w:color="auto" w:fill="1F4E79" w:themeFill="accent1" w:themeFillShade="80"/>
          </w:tcPr>
          <w:p w14:paraId="151CABE6" w14:textId="77777777" w:rsidR="00CD5878" w:rsidRPr="00B51D1F" w:rsidRDefault="00CD5878" w:rsidP="00935547">
            <w:pPr>
              <w:rPr>
                <w:rFonts w:ascii="Arial" w:hAnsi="Arial" w:cs="Arial"/>
                <w:b/>
                <w:color w:val="FFFFFF" w:themeColor="background1"/>
              </w:rPr>
            </w:pPr>
            <w:r>
              <w:rPr>
                <w:rFonts w:ascii="Arial" w:hAnsi="Arial" w:cs="Arial"/>
                <w:b/>
                <w:color w:val="FFFFFF" w:themeColor="background1"/>
              </w:rPr>
              <w:t>Intervenors</w:t>
            </w:r>
          </w:p>
        </w:tc>
        <w:tc>
          <w:tcPr>
            <w:tcW w:w="7650" w:type="dxa"/>
          </w:tcPr>
          <w:p w14:paraId="07FB4563" w14:textId="77777777" w:rsidR="00CD5878" w:rsidRPr="00B51D1F" w:rsidRDefault="00CD5878" w:rsidP="00935547">
            <w:pPr>
              <w:rPr>
                <w:rFonts w:ascii="Arial" w:hAnsi="Arial" w:cs="Arial"/>
              </w:rPr>
            </w:pPr>
          </w:p>
        </w:tc>
      </w:tr>
      <w:tr w:rsidR="00CD5878" w:rsidRPr="00B51D1F" w14:paraId="6808812F" w14:textId="77777777" w:rsidTr="00935547">
        <w:trPr>
          <w:trHeight w:val="263"/>
        </w:trPr>
        <w:tc>
          <w:tcPr>
            <w:tcW w:w="9895" w:type="dxa"/>
            <w:gridSpan w:val="2"/>
            <w:shd w:val="clear" w:color="auto" w:fill="1F4E79" w:themeFill="accent1" w:themeFillShade="80"/>
          </w:tcPr>
          <w:p w14:paraId="4EB3EFEF" w14:textId="77777777" w:rsidR="00CD5878" w:rsidRPr="00B51D1F" w:rsidRDefault="00CD5878" w:rsidP="00935547">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CD5878" w:rsidRPr="00B51D1F" w14:paraId="47D36BFD" w14:textId="77777777" w:rsidTr="00935547">
        <w:trPr>
          <w:trHeight w:val="263"/>
        </w:trPr>
        <w:tc>
          <w:tcPr>
            <w:tcW w:w="9895" w:type="dxa"/>
            <w:gridSpan w:val="2"/>
            <w:shd w:val="clear" w:color="auto" w:fill="FFFFFF" w:themeFill="background1"/>
          </w:tcPr>
          <w:p w14:paraId="2950CE5A" w14:textId="77777777" w:rsidR="00E55956" w:rsidRDefault="00E55956" w:rsidP="00935547">
            <w:pPr>
              <w:tabs>
                <w:tab w:val="left" w:pos="240"/>
                <w:tab w:val="center" w:pos="4839"/>
              </w:tabs>
              <w:rPr>
                <w:rFonts w:ascii="Arial" w:hAnsi="Arial" w:cs="Arial"/>
              </w:rPr>
            </w:pPr>
            <w:r>
              <w:rPr>
                <w:rFonts w:ascii="Arial" w:hAnsi="Arial" w:cs="Arial"/>
              </w:rPr>
              <w:t xml:space="preserve">On November 26, 2019 the Virginia Corporation Commission approved WGL’s request for approval of its SAVE rider for calendar year 2020. </w:t>
            </w:r>
          </w:p>
          <w:p w14:paraId="1C092A37" w14:textId="77777777" w:rsidR="00E55956" w:rsidRDefault="00E55956" w:rsidP="00935547">
            <w:pPr>
              <w:tabs>
                <w:tab w:val="left" w:pos="240"/>
                <w:tab w:val="center" w:pos="4839"/>
              </w:tabs>
              <w:rPr>
                <w:rFonts w:ascii="Arial" w:hAnsi="Arial" w:cs="Arial"/>
              </w:rPr>
            </w:pPr>
          </w:p>
          <w:p w14:paraId="26A53974" w14:textId="77777777" w:rsidR="00CD5878" w:rsidRDefault="00E55956" w:rsidP="00935547">
            <w:pPr>
              <w:tabs>
                <w:tab w:val="left" w:pos="240"/>
                <w:tab w:val="center" w:pos="4839"/>
              </w:tabs>
              <w:rPr>
                <w:rFonts w:ascii="Arial" w:hAnsi="Arial" w:cs="Arial"/>
              </w:rPr>
            </w:pPr>
            <w:r>
              <w:rPr>
                <w:rFonts w:ascii="Arial" w:hAnsi="Arial" w:cs="Arial"/>
              </w:rPr>
              <w:t>The SAVE rider pertains to infrastructure investments approved by the commission under an accelerated upgrade program. The revenue requirement reflects the 9.5% ROE that was to be used for “other regulatory purpose” as specified in a settlement that resolved the company’s base rate case, with an updated ROE of 7.347%.</w:t>
            </w:r>
          </w:p>
          <w:p w14:paraId="2B99D6D5" w14:textId="77777777" w:rsidR="00CD5878" w:rsidRPr="00B51D1F" w:rsidRDefault="00CD5878" w:rsidP="00935547">
            <w:pPr>
              <w:tabs>
                <w:tab w:val="left" w:pos="240"/>
                <w:tab w:val="center" w:pos="4839"/>
              </w:tabs>
              <w:rPr>
                <w:rFonts w:ascii="Arial" w:hAnsi="Arial" w:cs="Arial"/>
              </w:rPr>
            </w:pPr>
          </w:p>
        </w:tc>
      </w:tr>
    </w:tbl>
    <w:p w14:paraId="14E2B51C" w14:textId="77777777" w:rsidR="00CD5878" w:rsidRDefault="00CD5878" w:rsidP="009965F4">
      <w:pPr>
        <w:rPr>
          <w:rFonts w:ascii="Arial" w:hAnsi="Arial" w:cs="Arial"/>
          <w:i/>
          <w:iCs/>
          <w:color w:val="000000"/>
          <w:sz w:val="18"/>
          <w:szCs w:val="18"/>
        </w:rPr>
      </w:pPr>
    </w:p>
    <w:tbl>
      <w:tblPr>
        <w:tblStyle w:val="TableGrid"/>
        <w:tblW w:w="9895" w:type="dxa"/>
        <w:tblLook w:val="04A0" w:firstRow="1" w:lastRow="0" w:firstColumn="1" w:lastColumn="0" w:noHBand="0" w:noVBand="1"/>
      </w:tblPr>
      <w:tblGrid>
        <w:gridCol w:w="2245"/>
        <w:gridCol w:w="7650"/>
      </w:tblGrid>
      <w:tr w:rsidR="00CD5878" w:rsidRPr="000602A6" w14:paraId="44916CD6" w14:textId="77777777" w:rsidTr="00935547">
        <w:trPr>
          <w:trHeight w:val="279"/>
        </w:trPr>
        <w:tc>
          <w:tcPr>
            <w:tcW w:w="9895" w:type="dxa"/>
            <w:gridSpan w:val="2"/>
            <w:shd w:val="clear" w:color="auto" w:fill="1F4E79" w:themeFill="accent1" w:themeFillShade="80"/>
          </w:tcPr>
          <w:p w14:paraId="584AB1BC" w14:textId="77777777" w:rsidR="00CD5878" w:rsidRPr="000602A6" w:rsidRDefault="00E55956" w:rsidP="00935547">
            <w:pPr>
              <w:jc w:val="center"/>
              <w:rPr>
                <w:rFonts w:ascii="Arial" w:hAnsi="Arial" w:cs="Arial"/>
                <w:b/>
                <w:color w:val="FFFFFF" w:themeColor="background1"/>
              </w:rPr>
            </w:pPr>
            <w:r>
              <w:rPr>
                <w:rFonts w:ascii="Arial" w:hAnsi="Arial" w:cs="Arial"/>
                <w:b/>
                <w:color w:val="FFFFFF" w:themeColor="background1"/>
              </w:rPr>
              <w:t>December</w:t>
            </w:r>
            <w:r w:rsidR="00CD5878">
              <w:rPr>
                <w:rFonts w:ascii="Arial" w:hAnsi="Arial" w:cs="Arial"/>
                <w:b/>
                <w:color w:val="FFFFFF" w:themeColor="background1"/>
              </w:rPr>
              <w:t xml:space="preserve"> 6, 2019</w:t>
            </w:r>
          </w:p>
        </w:tc>
      </w:tr>
      <w:tr w:rsidR="00CD5878" w:rsidRPr="000602A6" w14:paraId="4B0FA8D5" w14:textId="77777777" w:rsidTr="00935547">
        <w:trPr>
          <w:trHeight w:val="279"/>
        </w:trPr>
        <w:tc>
          <w:tcPr>
            <w:tcW w:w="2245" w:type="dxa"/>
            <w:shd w:val="clear" w:color="auto" w:fill="1F4E79" w:themeFill="accent1" w:themeFillShade="80"/>
          </w:tcPr>
          <w:p w14:paraId="1A092B08"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14:paraId="6CC48AD9" w14:textId="77777777" w:rsidR="00CD5878" w:rsidRPr="000602A6" w:rsidRDefault="00A569A8" w:rsidP="00935547">
            <w:pPr>
              <w:rPr>
                <w:rFonts w:ascii="Arial" w:hAnsi="Arial" w:cs="Arial"/>
              </w:rPr>
            </w:pPr>
            <w:r>
              <w:rPr>
                <w:rFonts w:ascii="Arial" w:hAnsi="Arial" w:cs="Arial"/>
              </w:rPr>
              <w:t>SEMCO Energy Inc.</w:t>
            </w:r>
          </w:p>
        </w:tc>
      </w:tr>
      <w:tr w:rsidR="00CD5878" w:rsidRPr="00B51D1F" w14:paraId="5DD37588" w14:textId="77777777" w:rsidTr="00935547">
        <w:trPr>
          <w:trHeight w:val="279"/>
        </w:trPr>
        <w:tc>
          <w:tcPr>
            <w:tcW w:w="2245" w:type="dxa"/>
            <w:shd w:val="clear" w:color="auto" w:fill="1F4E79" w:themeFill="accent1" w:themeFillShade="80"/>
          </w:tcPr>
          <w:p w14:paraId="32CCD2EA"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14:paraId="76C4252F" w14:textId="77777777" w:rsidR="00CD5878" w:rsidRPr="00B51D1F" w:rsidRDefault="00CD5878" w:rsidP="00935547">
            <w:pPr>
              <w:rPr>
                <w:rFonts w:ascii="Arial" w:hAnsi="Arial" w:cs="Arial"/>
              </w:rPr>
            </w:pPr>
            <w:r>
              <w:rPr>
                <w:rFonts w:ascii="Arial" w:hAnsi="Arial" w:cs="Arial"/>
              </w:rPr>
              <w:t>Michigan</w:t>
            </w:r>
          </w:p>
        </w:tc>
      </w:tr>
      <w:tr w:rsidR="00CD5878" w:rsidRPr="00B51D1F" w14:paraId="6C5D58A0" w14:textId="77777777" w:rsidTr="00935547">
        <w:trPr>
          <w:trHeight w:val="263"/>
        </w:trPr>
        <w:tc>
          <w:tcPr>
            <w:tcW w:w="2245" w:type="dxa"/>
            <w:shd w:val="clear" w:color="auto" w:fill="1F4E79" w:themeFill="accent1" w:themeFillShade="80"/>
          </w:tcPr>
          <w:p w14:paraId="1450CD2F"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14:paraId="7ADC3154" w14:textId="77777777" w:rsidR="00CD5878" w:rsidRPr="00B51D1F" w:rsidRDefault="00F103A3" w:rsidP="00935547">
            <w:pPr>
              <w:rPr>
                <w:rFonts w:ascii="Arial" w:hAnsi="Arial" w:cs="Arial"/>
                <w:color w:val="0000FF"/>
                <w:u w:val="single"/>
              </w:rPr>
            </w:pPr>
            <w:hyperlink r:id="rId23" w:history="1">
              <w:r w:rsidR="00A569A8" w:rsidRPr="00B671DD">
                <w:rPr>
                  <w:rStyle w:val="Hyperlink"/>
                  <w:rFonts w:ascii="Arial" w:hAnsi="Arial" w:cs="Arial"/>
                </w:rPr>
                <w:t>U-20479</w:t>
              </w:r>
            </w:hyperlink>
          </w:p>
        </w:tc>
      </w:tr>
      <w:tr w:rsidR="00CD5878" w:rsidRPr="006A20C9" w14:paraId="40BAD9F2" w14:textId="77777777" w:rsidTr="00935547">
        <w:trPr>
          <w:trHeight w:val="279"/>
        </w:trPr>
        <w:tc>
          <w:tcPr>
            <w:tcW w:w="2245" w:type="dxa"/>
            <w:shd w:val="clear" w:color="auto" w:fill="1F4E79" w:themeFill="accent1" w:themeFillShade="80"/>
          </w:tcPr>
          <w:p w14:paraId="541DEEBB"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14:paraId="1B5C5879" w14:textId="77777777" w:rsidR="00CD5878" w:rsidRPr="006A20C9" w:rsidRDefault="00CD5878" w:rsidP="00935547">
            <w:pPr>
              <w:rPr>
                <w:rFonts w:ascii="Arial" w:hAnsi="Arial" w:cs="Arial"/>
              </w:rPr>
            </w:pPr>
            <w:r w:rsidRPr="006A20C9">
              <w:rPr>
                <w:rFonts w:ascii="Arial" w:hAnsi="Arial" w:cs="Arial"/>
              </w:rPr>
              <w:t>$1</w:t>
            </w:r>
            <w:r w:rsidR="00A569A8">
              <w:rPr>
                <w:rFonts w:ascii="Arial" w:hAnsi="Arial" w:cs="Arial"/>
              </w:rPr>
              <w:t>9,900,000</w:t>
            </w:r>
          </w:p>
        </w:tc>
      </w:tr>
      <w:tr w:rsidR="00CD5878" w:rsidRPr="00B51D1F" w14:paraId="379748A2" w14:textId="77777777" w:rsidTr="00935547">
        <w:trPr>
          <w:trHeight w:val="263"/>
        </w:trPr>
        <w:tc>
          <w:tcPr>
            <w:tcW w:w="2245" w:type="dxa"/>
            <w:shd w:val="clear" w:color="auto" w:fill="1F4E79" w:themeFill="accent1" w:themeFillShade="80"/>
          </w:tcPr>
          <w:p w14:paraId="5B47F766"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14:paraId="72EADFC4" w14:textId="77777777" w:rsidR="00CD5878" w:rsidRPr="00B51D1F" w:rsidRDefault="00CD5878" w:rsidP="00935547">
            <w:pPr>
              <w:rPr>
                <w:rFonts w:ascii="Arial" w:hAnsi="Arial" w:cs="Arial"/>
              </w:rPr>
            </w:pPr>
            <w:r>
              <w:rPr>
                <w:rFonts w:ascii="Arial" w:hAnsi="Arial" w:cs="Arial"/>
              </w:rPr>
              <w:t>9.</w:t>
            </w:r>
            <w:r w:rsidR="00A569A8">
              <w:rPr>
                <w:rFonts w:ascii="Arial" w:hAnsi="Arial" w:cs="Arial"/>
              </w:rPr>
              <w:t>87%</w:t>
            </w:r>
          </w:p>
        </w:tc>
      </w:tr>
      <w:tr w:rsidR="00CD5878" w:rsidRPr="00B51D1F" w14:paraId="2C760BC6" w14:textId="77777777" w:rsidTr="00935547">
        <w:trPr>
          <w:trHeight w:val="263"/>
        </w:trPr>
        <w:tc>
          <w:tcPr>
            <w:tcW w:w="2245" w:type="dxa"/>
            <w:shd w:val="clear" w:color="auto" w:fill="1F4E79" w:themeFill="accent1" w:themeFillShade="80"/>
          </w:tcPr>
          <w:p w14:paraId="41CA2E04" w14:textId="77777777" w:rsidR="00CD5878" w:rsidRPr="00B51D1F" w:rsidRDefault="00CD5878" w:rsidP="00935547">
            <w:pPr>
              <w:rPr>
                <w:rFonts w:ascii="Arial" w:hAnsi="Arial" w:cs="Arial"/>
                <w:b/>
                <w:color w:val="FFFFFF" w:themeColor="background1"/>
              </w:rPr>
            </w:pPr>
            <w:r>
              <w:rPr>
                <w:rFonts w:ascii="Arial" w:hAnsi="Arial" w:cs="Arial"/>
                <w:b/>
                <w:color w:val="FFFFFF" w:themeColor="background1"/>
              </w:rPr>
              <w:t>Intervenors</w:t>
            </w:r>
          </w:p>
        </w:tc>
        <w:tc>
          <w:tcPr>
            <w:tcW w:w="7650" w:type="dxa"/>
          </w:tcPr>
          <w:p w14:paraId="04542E04" w14:textId="77777777" w:rsidR="00CD5878" w:rsidRPr="00B51D1F" w:rsidRDefault="00A569A8" w:rsidP="00935547">
            <w:pPr>
              <w:rPr>
                <w:rFonts w:ascii="Arial" w:hAnsi="Arial" w:cs="Arial"/>
              </w:rPr>
            </w:pPr>
            <w:r w:rsidRPr="00A569A8">
              <w:rPr>
                <w:rFonts w:ascii="Arial" w:hAnsi="Arial" w:cs="Arial"/>
              </w:rPr>
              <w:t>Retail Energy Supply Association</w:t>
            </w:r>
            <w:r w:rsidR="00C93853">
              <w:rPr>
                <w:rFonts w:ascii="Arial" w:hAnsi="Arial" w:cs="Arial"/>
              </w:rPr>
              <w:t xml:space="preserve"> and </w:t>
            </w:r>
            <w:r w:rsidRPr="00A569A8">
              <w:rPr>
                <w:rFonts w:ascii="Arial" w:hAnsi="Arial" w:cs="Arial"/>
              </w:rPr>
              <w:t>Citizens Utility Board of Michigan</w:t>
            </w:r>
            <w:r>
              <w:rPr>
                <w:rFonts w:ascii="Arial" w:hAnsi="Arial" w:cs="Arial"/>
              </w:rPr>
              <w:t xml:space="preserve">, </w:t>
            </w:r>
          </w:p>
        </w:tc>
      </w:tr>
      <w:tr w:rsidR="00CD5878" w:rsidRPr="00B51D1F" w14:paraId="08AD5ED8" w14:textId="77777777" w:rsidTr="00935547">
        <w:trPr>
          <w:trHeight w:val="263"/>
        </w:trPr>
        <w:tc>
          <w:tcPr>
            <w:tcW w:w="9895" w:type="dxa"/>
            <w:gridSpan w:val="2"/>
            <w:shd w:val="clear" w:color="auto" w:fill="1F4E79" w:themeFill="accent1" w:themeFillShade="80"/>
          </w:tcPr>
          <w:p w14:paraId="47AE66DF" w14:textId="77777777" w:rsidR="00CD5878" w:rsidRPr="00B51D1F" w:rsidRDefault="00CD5878" w:rsidP="00935547">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CD5878" w:rsidRPr="00B51D1F" w14:paraId="7543C557" w14:textId="77777777" w:rsidTr="00935547">
        <w:trPr>
          <w:trHeight w:val="263"/>
        </w:trPr>
        <w:tc>
          <w:tcPr>
            <w:tcW w:w="9895" w:type="dxa"/>
            <w:gridSpan w:val="2"/>
            <w:shd w:val="clear" w:color="auto" w:fill="FFFFFF" w:themeFill="background1"/>
          </w:tcPr>
          <w:p w14:paraId="7E1C322C" w14:textId="77777777" w:rsidR="00B671DD" w:rsidRDefault="00B671DD" w:rsidP="00B671DD">
            <w:pPr>
              <w:contextualSpacing/>
              <w:rPr>
                <w:rFonts w:ascii="Arial" w:eastAsia="Calibri" w:hAnsi="Arial" w:cs="Arial"/>
                <w:bCs/>
              </w:rPr>
            </w:pPr>
            <w:r w:rsidRPr="00A950C4">
              <w:rPr>
                <w:rFonts w:ascii="Arial" w:eastAsia="Calibri" w:hAnsi="Arial" w:cs="Arial"/>
                <w:bCs/>
              </w:rPr>
              <w:t>The Michigan Public Service Commission on Dec</w:t>
            </w:r>
            <w:r>
              <w:rPr>
                <w:rFonts w:ascii="Arial" w:eastAsia="Calibri" w:hAnsi="Arial" w:cs="Arial"/>
                <w:bCs/>
              </w:rPr>
              <w:t>ember</w:t>
            </w:r>
            <w:r w:rsidRPr="00A950C4">
              <w:rPr>
                <w:rFonts w:ascii="Arial" w:eastAsia="Calibri" w:hAnsi="Arial" w:cs="Arial"/>
                <w:bCs/>
              </w:rPr>
              <w:t xml:space="preserve"> 6 voted to approve a settlement agreement authorizing SEMCO ENERGY Gas Company a $19.9 million increase in gas base rates, premised upon a 9.87% return on equity, to help the company replacing aging gas mains and initiate an infrastructure reliability improvement program.</w:t>
            </w:r>
          </w:p>
          <w:p w14:paraId="1ABDBA8C" w14:textId="77777777" w:rsidR="00B671DD" w:rsidRPr="00A950C4" w:rsidRDefault="00B671DD" w:rsidP="00B671DD">
            <w:pPr>
              <w:contextualSpacing/>
              <w:rPr>
                <w:rFonts w:ascii="Arial" w:eastAsia="Calibri" w:hAnsi="Arial" w:cs="Arial"/>
                <w:bCs/>
              </w:rPr>
            </w:pPr>
          </w:p>
          <w:p w14:paraId="7BAA4A5F" w14:textId="77777777" w:rsidR="00B671DD" w:rsidRDefault="00B671DD" w:rsidP="00B671DD">
            <w:pPr>
              <w:contextualSpacing/>
              <w:rPr>
                <w:rFonts w:ascii="Arial" w:eastAsia="Calibri" w:hAnsi="Arial" w:cs="Arial"/>
                <w:bCs/>
              </w:rPr>
            </w:pPr>
            <w:r w:rsidRPr="00A950C4">
              <w:rPr>
                <w:rFonts w:ascii="Arial" w:eastAsia="Calibri" w:hAnsi="Arial" w:cs="Arial"/>
                <w:bCs/>
              </w:rPr>
              <w:t>The commission approved an overall capital structure for SEMCO with 54% common equity, with the understanding that the company will move toward a 50/50 capital structure in its next general rate case. Other rate case parameters, including rate base and overall return on rate base, were not immediately available.</w:t>
            </w:r>
          </w:p>
          <w:p w14:paraId="4EF42395" w14:textId="77777777" w:rsidR="00B671DD" w:rsidRDefault="00B671DD" w:rsidP="00B671DD">
            <w:pPr>
              <w:contextualSpacing/>
              <w:rPr>
                <w:rFonts w:ascii="Arial" w:eastAsia="Calibri" w:hAnsi="Arial" w:cs="Arial"/>
                <w:bCs/>
              </w:rPr>
            </w:pPr>
          </w:p>
          <w:p w14:paraId="0705FBC0" w14:textId="77777777" w:rsidR="00B671DD" w:rsidRDefault="00B671DD" w:rsidP="00B671DD">
            <w:pPr>
              <w:contextualSpacing/>
              <w:rPr>
                <w:rFonts w:ascii="Arial" w:eastAsia="Calibri" w:hAnsi="Arial" w:cs="Arial"/>
                <w:bCs/>
              </w:rPr>
            </w:pPr>
            <w:r w:rsidRPr="007613D7">
              <w:rPr>
                <w:rFonts w:ascii="Arial" w:eastAsia="Calibri" w:hAnsi="Arial" w:cs="Arial"/>
                <w:bCs/>
              </w:rPr>
              <w:t xml:space="preserve">The settlement, which was </w:t>
            </w:r>
            <w:proofErr w:type="gramStart"/>
            <w:r w:rsidRPr="007613D7">
              <w:rPr>
                <w:rFonts w:ascii="Arial" w:eastAsia="Calibri" w:hAnsi="Arial" w:cs="Arial"/>
                <w:bCs/>
              </w:rPr>
              <w:t>entered into</w:t>
            </w:r>
            <w:proofErr w:type="gramEnd"/>
            <w:r w:rsidRPr="007613D7">
              <w:rPr>
                <w:rFonts w:ascii="Arial" w:eastAsia="Calibri" w:hAnsi="Arial" w:cs="Arial"/>
                <w:bCs/>
              </w:rPr>
              <w:t xml:space="preserve"> by SEMCO with intervenors and staff of the PSC on Nov</w:t>
            </w:r>
            <w:r>
              <w:rPr>
                <w:rFonts w:ascii="Arial" w:eastAsia="Calibri" w:hAnsi="Arial" w:cs="Arial"/>
                <w:bCs/>
              </w:rPr>
              <w:t>ember</w:t>
            </w:r>
            <w:r w:rsidRPr="007613D7">
              <w:rPr>
                <w:rFonts w:ascii="Arial" w:eastAsia="Calibri" w:hAnsi="Arial" w:cs="Arial"/>
                <w:bCs/>
              </w:rPr>
              <w:t xml:space="preserve"> 20, factors in all impacts of corporate tax cuts from the 2017 federal Tax Cuts and Jobs Act. </w:t>
            </w:r>
            <w:proofErr w:type="gramStart"/>
            <w:r w:rsidRPr="007613D7">
              <w:rPr>
                <w:rFonts w:ascii="Arial" w:eastAsia="Calibri" w:hAnsi="Arial" w:cs="Arial"/>
                <w:bCs/>
              </w:rPr>
              <w:t>Also</w:t>
            </w:r>
            <w:proofErr w:type="gramEnd"/>
            <w:r w:rsidRPr="007613D7">
              <w:rPr>
                <w:rFonts w:ascii="Arial" w:eastAsia="Calibri" w:hAnsi="Arial" w:cs="Arial"/>
                <w:bCs/>
              </w:rPr>
              <w:t xml:space="preserve"> as part of the settlement, SEMCO agreed not to seek another general rate case before Jan</w:t>
            </w:r>
            <w:r>
              <w:rPr>
                <w:rFonts w:ascii="Arial" w:eastAsia="Calibri" w:hAnsi="Arial" w:cs="Arial"/>
                <w:bCs/>
              </w:rPr>
              <w:t>uary</w:t>
            </w:r>
            <w:r w:rsidRPr="007613D7">
              <w:rPr>
                <w:rFonts w:ascii="Arial" w:eastAsia="Calibri" w:hAnsi="Arial" w:cs="Arial"/>
                <w:bCs/>
              </w:rPr>
              <w:t xml:space="preserve"> 1, 2023.</w:t>
            </w:r>
          </w:p>
          <w:p w14:paraId="0B97A874" w14:textId="77777777" w:rsidR="00B671DD" w:rsidRDefault="00B671DD" w:rsidP="00B671DD">
            <w:pPr>
              <w:contextualSpacing/>
              <w:rPr>
                <w:rFonts w:ascii="Arial" w:eastAsia="Calibri" w:hAnsi="Arial" w:cs="Arial"/>
                <w:bCs/>
              </w:rPr>
            </w:pPr>
          </w:p>
          <w:p w14:paraId="54262A5A" w14:textId="77777777" w:rsidR="00B671DD" w:rsidRDefault="00B671DD" w:rsidP="00B671DD">
            <w:pPr>
              <w:contextualSpacing/>
              <w:rPr>
                <w:rFonts w:ascii="Arial" w:eastAsia="Calibri" w:hAnsi="Arial" w:cs="Arial"/>
                <w:bCs/>
              </w:rPr>
            </w:pPr>
            <w:r w:rsidRPr="00FF45F0">
              <w:rPr>
                <w:rFonts w:ascii="Arial" w:eastAsia="Calibri" w:hAnsi="Arial" w:cs="Arial"/>
                <w:bCs/>
              </w:rPr>
              <w:t>In addition to the increase in rates, SEMCO requested approval to redesign the way in which it charges customers for natural gas service, implement an extended gas main replacement program and a new infrastructure reliability improvement program with related surcharges and implement an alternative revenue decoupling mechanism, or RDM.</w:t>
            </w:r>
            <w:r w:rsidRPr="00C979E6">
              <w:rPr>
                <w:rFonts w:ascii="Helvetica" w:hAnsi="Helvetica" w:cs="Helvetica"/>
                <w:color w:val="000000"/>
                <w:sz w:val="21"/>
                <w:szCs w:val="21"/>
              </w:rPr>
              <w:t xml:space="preserve"> </w:t>
            </w:r>
            <w:r w:rsidRPr="00C979E6">
              <w:rPr>
                <w:rFonts w:ascii="Arial" w:eastAsia="Calibri" w:hAnsi="Arial" w:cs="Arial"/>
                <w:bCs/>
              </w:rPr>
              <w:t>While the PSC on Dec</w:t>
            </w:r>
            <w:r>
              <w:rPr>
                <w:rFonts w:ascii="Arial" w:eastAsia="Calibri" w:hAnsi="Arial" w:cs="Arial"/>
                <w:bCs/>
              </w:rPr>
              <w:t>ember</w:t>
            </w:r>
            <w:r w:rsidRPr="00C979E6">
              <w:rPr>
                <w:rFonts w:ascii="Arial" w:eastAsia="Calibri" w:hAnsi="Arial" w:cs="Arial"/>
                <w:bCs/>
              </w:rPr>
              <w:t xml:space="preserve"> 6 authorized the new infrastructure reliability improvement program it is unclear from the PSC order whether SEMCO was authorized use of the alternative RDM.</w:t>
            </w:r>
          </w:p>
          <w:p w14:paraId="5733B215" w14:textId="77777777" w:rsidR="00CD5878" w:rsidRPr="00B51D1F" w:rsidRDefault="00CD5878" w:rsidP="00935547">
            <w:pPr>
              <w:tabs>
                <w:tab w:val="left" w:pos="240"/>
                <w:tab w:val="center" w:pos="4839"/>
              </w:tabs>
              <w:rPr>
                <w:rFonts w:ascii="Arial" w:hAnsi="Arial" w:cs="Arial"/>
              </w:rPr>
            </w:pPr>
          </w:p>
        </w:tc>
      </w:tr>
    </w:tbl>
    <w:p w14:paraId="43F68228" w14:textId="77777777" w:rsidR="00CD5878" w:rsidRDefault="00CD5878" w:rsidP="009965F4">
      <w:pPr>
        <w:rPr>
          <w:rFonts w:ascii="Arial" w:hAnsi="Arial" w:cs="Arial"/>
          <w:i/>
          <w:iCs/>
          <w:color w:val="000000"/>
          <w:sz w:val="18"/>
          <w:szCs w:val="18"/>
        </w:rPr>
      </w:pPr>
    </w:p>
    <w:tbl>
      <w:tblPr>
        <w:tblStyle w:val="TableGrid"/>
        <w:tblW w:w="9895" w:type="dxa"/>
        <w:tblLook w:val="04A0" w:firstRow="1" w:lastRow="0" w:firstColumn="1" w:lastColumn="0" w:noHBand="0" w:noVBand="1"/>
      </w:tblPr>
      <w:tblGrid>
        <w:gridCol w:w="2245"/>
        <w:gridCol w:w="7650"/>
      </w:tblGrid>
      <w:tr w:rsidR="00CD5878" w:rsidRPr="000602A6" w14:paraId="15B7961E" w14:textId="77777777" w:rsidTr="00935547">
        <w:trPr>
          <w:trHeight w:val="279"/>
        </w:trPr>
        <w:tc>
          <w:tcPr>
            <w:tcW w:w="9895" w:type="dxa"/>
            <w:gridSpan w:val="2"/>
            <w:shd w:val="clear" w:color="auto" w:fill="1F4E79" w:themeFill="accent1" w:themeFillShade="80"/>
          </w:tcPr>
          <w:p w14:paraId="62EC1391" w14:textId="77777777" w:rsidR="00CD5878" w:rsidRPr="000602A6" w:rsidRDefault="00077269" w:rsidP="00935547">
            <w:pPr>
              <w:jc w:val="center"/>
              <w:rPr>
                <w:rFonts w:ascii="Arial" w:hAnsi="Arial" w:cs="Arial"/>
                <w:b/>
                <w:color w:val="FFFFFF" w:themeColor="background1"/>
              </w:rPr>
            </w:pPr>
            <w:r>
              <w:rPr>
                <w:rFonts w:ascii="Arial" w:hAnsi="Arial" w:cs="Arial"/>
                <w:b/>
                <w:color w:val="FFFFFF" w:themeColor="background1"/>
              </w:rPr>
              <w:t>December</w:t>
            </w:r>
            <w:r w:rsidR="00CD5878">
              <w:rPr>
                <w:rFonts w:ascii="Arial" w:hAnsi="Arial" w:cs="Arial"/>
                <w:b/>
                <w:color w:val="FFFFFF" w:themeColor="background1"/>
              </w:rPr>
              <w:t xml:space="preserve"> 6, 2019</w:t>
            </w:r>
          </w:p>
        </w:tc>
      </w:tr>
      <w:tr w:rsidR="00CD5878" w:rsidRPr="000602A6" w14:paraId="2BE0FD29" w14:textId="77777777" w:rsidTr="00935547">
        <w:trPr>
          <w:trHeight w:val="279"/>
        </w:trPr>
        <w:tc>
          <w:tcPr>
            <w:tcW w:w="2245" w:type="dxa"/>
            <w:shd w:val="clear" w:color="auto" w:fill="1F4E79" w:themeFill="accent1" w:themeFillShade="80"/>
          </w:tcPr>
          <w:p w14:paraId="3F06BAB7"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14:paraId="0035D2B4" w14:textId="77777777" w:rsidR="00CD5878" w:rsidRPr="000602A6" w:rsidRDefault="00CD5878" w:rsidP="00935547">
            <w:pPr>
              <w:rPr>
                <w:rFonts w:ascii="Arial" w:hAnsi="Arial" w:cs="Arial"/>
              </w:rPr>
            </w:pPr>
            <w:r>
              <w:rPr>
                <w:rFonts w:ascii="Arial" w:hAnsi="Arial" w:cs="Arial"/>
              </w:rPr>
              <w:t>C</w:t>
            </w:r>
            <w:r w:rsidR="00077269">
              <w:rPr>
                <w:rFonts w:ascii="Arial" w:hAnsi="Arial" w:cs="Arial"/>
              </w:rPr>
              <w:t xml:space="preserve">olumbia Gas of Virginia </w:t>
            </w:r>
          </w:p>
        </w:tc>
      </w:tr>
      <w:tr w:rsidR="00CD5878" w:rsidRPr="00B51D1F" w14:paraId="6A9BB636" w14:textId="77777777" w:rsidTr="00935547">
        <w:trPr>
          <w:trHeight w:val="279"/>
        </w:trPr>
        <w:tc>
          <w:tcPr>
            <w:tcW w:w="2245" w:type="dxa"/>
            <w:shd w:val="clear" w:color="auto" w:fill="1F4E79" w:themeFill="accent1" w:themeFillShade="80"/>
          </w:tcPr>
          <w:p w14:paraId="715CE975"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14:paraId="14751462" w14:textId="77777777" w:rsidR="00CD5878" w:rsidRPr="00B51D1F" w:rsidRDefault="00077269" w:rsidP="00935547">
            <w:pPr>
              <w:rPr>
                <w:rFonts w:ascii="Arial" w:hAnsi="Arial" w:cs="Arial"/>
              </w:rPr>
            </w:pPr>
            <w:r>
              <w:rPr>
                <w:rFonts w:ascii="Arial" w:hAnsi="Arial" w:cs="Arial"/>
              </w:rPr>
              <w:t>Virginia</w:t>
            </w:r>
          </w:p>
        </w:tc>
      </w:tr>
      <w:tr w:rsidR="00CD5878" w:rsidRPr="00B51D1F" w14:paraId="45726806" w14:textId="77777777" w:rsidTr="00935547">
        <w:trPr>
          <w:trHeight w:val="263"/>
        </w:trPr>
        <w:tc>
          <w:tcPr>
            <w:tcW w:w="2245" w:type="dxa"/>
            <w:shd w:val="clear" w:color="auto" w:fill="1F4E79" w:themeFill="accent1" w:themeFillShade="80"/>
          </w:tcPr>
          <w:p w14:paraId="72AA21D0"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14:paraId="03E00D7F" w14:textId="77777777" w:rsidR="00CD5878" w:rsidRPr="00B51D1F" w:rsidRDefault="00F103A3" w:rsidP="00935547">
            <w:pPr>
              <w:rPr>
                <w:rFonts w:ascii="Arial" w:hAnsi="Arial" w:cs="Arial"/>
                <w:color w:val="0000FF"/>
                <w:u w:val="single"/>
              </w:rPr>
            </w:pPr>
            <w:hyperlink r:id="rId24" w:anchor="caseDetails/140019" w:history="1">
              <w:r w:rsidR="00077269" w:rsidRPr="00077269">
                <w:rPr>
                  <w:rStyle w:val="Hyperlink"/>
                  <w:rFonts w:ascii="Arial" w:hAnsi="Arial" w:cs="Arial"/>
                </w:rPr>
                <w:t>PUR-2019-00132</w:t>
              </w:r>
            </w:hyperlink>
          </w:p>
        </w:tc>
      </w:tr>
      <w:tr w:rsidR="00CD5878" w:rsidRPr="006A20C9" w14:paraId="6BD68899" w14:textId="77777777" w:rsidTr="00935547">
        <w:trPr>
          <w:trHeight w:val="279"/>
        </w:trPr>
        <w:tc>
          <w:tcPr>
            <w:tcW w:w="2245" w:type="dxa"/>
            <w:shd w:val="clear" w:color="auto" w:fill="1F4E79" w:themeFill="accent1" w:themeFillShade="80"/>
          </w:tcPr>
          <w:p w14:paraId="510D926F"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14:paraId="10B78784" w14:textId="77777777" w:rsidR="00CD5878" w:rsidRPr="006A20C9" w:rsidRDefault="00077269" w:rsidP="00935547">
            <w:pPr>
              <w:rPr>
                <w:rFonts w:ascii="Arial" w:hAnsi="Arial" w:cs="Arial"/>
              </w:rPr>
            </w:pPr>
            <w:r>
              <w:rPr>
                <w:rFonts w:ascii="Arial" w:hAnsi="Arial" w:cs="Arial"/>
              </w:rPr>
              <w:t>$6,100,000</w:t>
            </w:r>
          </w:p>
        </w:tc>
      </w:tr>
      <w:tr w:rsidR="00CD5878" w:rsidRPr="00B51D1F" w14:paraId="5EB5C17F" w14:textId="77777777" w:rsidTr="00935547">
        <w:trPr>
          <w:trHeight w:val="263"/>
        </w:trPr>
        <w:tc>
          <w:tcPr>
            <w:tcW w:w="2245" w:type="dxa"/>
            <w:shd w:val="clear" w:color="auto" w:fill="1F4E79" w:themeFill="accent1" w:themeFillShade="80"/>
          </w:tcPr>
          <w:p w14:paraId="204357E2"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14:paraId="528F4E25" w14:textId="77777777" w:rsidR="00CD5878" w:rsidRPr="00B51D1F" w:rsidRDefault="00077269" w:rsidP="00935547">
            <w:pPr>
              <w:rPr>
                <w:rFonts w:ascii="Arial" w:hAnsi="Arial" w:cs="Arial"/>
              </w:rPr>
            </w:pPr>
            <w:r>
              <w:rPr>
                <w:rFonts w:ascii="Arial" w:hAnsi="Arial" w:cs="Arial"/>
              </w:rPr>
              <w:t>9.70%</w:t>
            </w:r>
          </w:p>
        </w:tc>
      </w:tr>
      <w:tr w:rsidR="00CD5878" w:rsidRPr="00B51D1F" w14:paraId="782024D5" w14:textId="77777777" w:rsidTr="00935547">
        <w:trPr>
          <w:trHeight w:val="263"/>
        </w:trPr>
        <w:tc>
          <w:tcPr>
            <w:tcW w:w="2245" w:type="dxa"/>
            <w:shd w:val="clear" w:color="auto" w:fill="1F4E79" w:themeFill="accent1" w:themeFillShade="80"/>
          </w:tcPr>
          <w:p w14:paraId="7DCD2017" w14:textId="77777777" w:rsidR="00CD5878" w:rsidRPr="00B51D1F" w:rsidRDefault="00CD5878" w:rsidP="00935547">
            <w:pPr>
              <w:rPr>
                <w:rFonts w:ascii="Arial" w:hAnsi="Arial" w:cs="Arial"/>
                <w:b/>
                <w:color w:val="FFFFFF" w:themeColor="background1"/>
              </w:rPr>
            </w:pPr>
            <w:r>
              <w:rPr>
                <w:rFonts w:ascii="Arial" w:hAnsi="Arial" w:cs="Arial"/>
                <w:b/>
                <w:color w:val="FFFFFF" w:themeColor="background1"/>
              </w:rPr>
              <w:t>Intervenors</w:t>
            </w:r>
          </w:p>
        </w:tc>
        <w:tc>
          <w:tcPr>
            <w:tcW w:w="7650" w:type="dxa"/>
          </w:tcPr>
          <w:p w14:paraId="41551555" w14:textId="77777777" w:rsidR="00CD5878" w:rsidRPr="00B51D1F" w:rsidRDefault="00CD5878" w:rsidP="00935547">
            <w:pPr>
              <w:rPr>
                <w:rFonts w:ascii="Arial" w:hAnsi="Arial" w:cs="Arial"/>
              </w:rPr>
            </w:pPr>
          </w:p>
        </w:tc>
      </w:tr>
      <w:tr w:rsidR="00CD5878" w:rsidRPr="00B51D1F" w14:paraId="0D3AE80C" w14:textId="77777777" w:rsidTr="00935547">
        <w:trPr>
          <w:trHeight w:val="263"/>
        </w:trPr>
        <w:tc>
          <w:tcPr>
            <w:tcW w:w="9895" w:type="dxa"/>
            <w:gridSpan w:val="2"/>
            <w:shd w:val="clear" w:color="auto" w:fill="1F4E79" w:themeFill="accent1" w:themeFillShade="80"/>
          </w:tcPr>
          <w:p w14:paraId="0432001C" w14:textId="77777777" w:rsidR="00CD5878" w:rsidRPr="00B51D1F" w:rsidRDefault="00CD5878" w:rsidP="00935547">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CD5878" w:rsidRPr="00B51D1F" w14:paraId="2724D4B1" w14:textId="77777777" w:rsidTr="00935547">
        <w:trPr>
          <w:trHeight w:val="263"/>
        </w:trPr>
        <w:tc>
          <w:tcPr>
            <w:tcW w:w="9895" w:type="dxa"/>
            <w:gridSpan w:val="2"/>
            <w:shd w:val="clear" w:color="auto" w:fill="FFFFFF" w:themeFill="background1"/>
          </w:tcPr>
          <w:p w14:paraId="27E4DED7" w14:textId="77777777" w:rsidR="00CD5878" w:rsidRDefault="00077269" w:rsidP="00935547">
            <w:pPr>
              <w:tabs>
                <w:tab w:val="left" w:pos="240"/>
                <w:tab w:val="center" w:pos="4839"/>
              </w:tabs>
              <w:rPr>
                <w:rFonts w:ascii="Arial" w:hAnsi="Arial" w:cs="Arial"/>
              </w:rPr>
            </w:pPr>
            <w:r>
              <w:rPr>
                <w:rFonts w:ascii="Arial" w:hAnsi="Arial" w:cs="Arial"/>
              </w:rPr>
              <w:t>On December 6 the Virginia Corporation Commission approved the application of Columbia Gas of Virginia for its 2020 steps to advanced energy, SAVE, rider.</w:t>
            </w:r>
          </w:p>
          <w:p w14:paraId="1245A6B7" w14:textId="77777777" w:rsidR="00077269" w:rsidRDefault="00077269" w:rsidP="00935547">
            <w:pPr>
              <w:tabs>
                <w:tab w:val="left" w:pos="240"/>
                <w:tab w:val="center" w:pos="4839"/>
              </w:tabs>
              <w:rPr>
                <w:rFonts w:ascii="Arial" w:hAnsi="Arial" w:cs="Arial"/>
              </w:rPr>
            </w:pPr>
          </w:p>
          <w:p w14:paraId="15196E55" w14:textId="77777777" w:rsidR="00077269" w:rsidRDefault="00077269" w:rsidP="00077269">
            <w:pPr>
              <w:tabs>
                <w:tab w:val="left" w:pos="240"/>
                <w:tab w:val="center" w:pos="4839"/>
              </w:tabs>
              <w:rPr>
                <w:rFonts w:ascii="Arial" w:hAnsi="Arial" w:cs="Arial"/>
              </w:rPr>
            </w:pPr>
            <w:r>
              <w:rPr>
                <w:rFonts w:ascii="Arial" w:hAnsi="Arial" w:cs="Arial"/>
              </w:rPr>
              <w:t xml:space="preserve">In its application CVA proposed an increase in order to </w:t>
            </w:r>
            <w:r w:rsidRPr="00077269">
              <w:rPr>
                <w:rFonts w:ascii="Arial" w:hAnsi="Arial" w:cs="Arial"/>
              </w:rPr>
              <w:t>accelerat</w:t>
            </w:r>
            <w:r>
              <w:rPr>
                <w:rFonts w:ascii="Arial" w:hAnsi="Arial" w:cs="Arial"/>
              </w:rPr>
              <w:t xml:space="preserve">e </w:t>
            </w:r>
            <w:r w:rsidRPr="00077269">
              <w:rPr>
                <w:rFonts w:ascii="Arial" w:hAnsi="Arial" w:cs="Arial"/>
              </w:rPr>
              <w:t xml:space="preserve">the replacement of bare steel pipelines, accommodate necessary </w:t>
            </w:r>
            <w:proofErr w:type="gramStart"/>
            <w:r w:rsidRPr="00077269">
              <w:rPr>
                <w:rFonts w:ascii="Arial" w:hAnsi="Arial" w:cs="Arial"/>
              </w:rPr>
              <w:t>large scale</w:t>
            </w:r>
            <w:proofErr w:type="gramEnd"/>
            <w:r w:rsidRPr="00077269">
              <w:rPr>
                <w:rFonts w:ascii="Arial" w:hAnsi="Arial" w:cs="Arial"/>
              </w:rPr>
              <w:t xml:space="preserve"> pipeline</w:t>
            </w:r>
            <w:r>
              <w:rPr>
                <w:rFonts w:ascii="Arial" w:hAnsi="Arial" w:cs="Arial"/>
              </w:rPr>
              <w:t xml:space="preserve"> </w:t>
            </w:r>
            <w:r w:rsidRPr="00077269">
              <w:rPr>
                <w:rFonts w:ascii="Arial" w:hAnsi="Arial" w:cs="Arial"/>
              </w:rPr>
              <w:t>replacement projects, and address additional costs related to more refined work plans and</w:t>
            </w:r>
            <w:r>
              <w:rPr>
                <w:rFonts w:ascii="Arial" w:hAnsi="Arial" w:cs="Arial"/>
              </w:rPr>
              <w:t xml:space="preserve"> </w:t>
            </w:r>
            <w:r w:rsidRPr="00077269">
              <w:rPr>
                <w:rFonts w:ascii="Arial" w:hAnsi="Arial" w:cs="Arial"/>
              </w:rPr>
              <w:t>cost projections.</w:t>
            </w:r>
          </w:p>
          <w:p w14:paraId="0BAA8108" w14:textId="77777777" w:rsidR="00CD5878" w:rsidRPr="00B51D1F" w:rsidRDefault="00CD5878" w:rsidP="00935547">
            <w:pPr>
              <w:tabs>
                <w:tab w:val="left" w:pos="240"/>
                <w:tab w:val="center" w:pos="4839"/>
              </w:tabs>
              <w:rPr>
                <w:rFonts w:ascii="Arial" w:hAnsi="Arial" w:cs="Arial"/>
              </w:rPr>
            </w:pPr>
          </w:p>
        </w:tc>
      </w:tr>
    </w:tbl>
    <w:p w14:paraId="4B005A66" w14:textId="77777777" w:rsidR="00CD5878" w:rsidRDefault="00CD5878" w:rsidP="009965F4">
      <w:pPr>
        <w:rPr>
          <w:rFonts w:ascii="Arial" w:hAnsi="Arial" w:cs="Arial"/>
          <w:i/>
          <w:iCs/>
          <w:color w:val="000000"/>
          <w:sz w:val="18"/>
          <w:szCs w:val="18"/>
        </w:rPr>
      </w:pPr>
    </w:p>
    <w:tbl>
      <w:tblPr>
        <w:tblStyle w:val="TableGrid"/>
        <w:tblW w:w="9895" w:type="dxa"/>
        <w:tblLook w:val="04A0" w:firstRow="1" w:lastRow="0" w:firstColumn="1" w:lastColumn="0" w:noHBand="0" w:noVBand="1"/>
      </w:tblPr>
      <w:tblGrid>
        <w:gridCol w:w="2245"/>
        <w:gridCol w:w="7650"/>
      </w:tblGrid>
      <w:tr w:rsidR="00CD5878" w:rsidRPr="000602A6" w14:paraId="6E2BFB5A" w14:textId="77777777" w:rsidTr="00935547">
        <w:trPr>
          <w:trHeight w:val="279"/>
        </w:trPr>
        <w:tc>
          <w:tcPr>
            <w:tcW w:w="9895" w:type="dxa"/>
            <w:gridSpan w:val="2"/>
            <w:shd w:val="clear" w:color="auto" w:fill="1F4E79" w:themeFill="accent1" w:themeFillShade="80"/>
          </w:tcPr>
          <w:p w14:paraId="6798DB8F" w14:textId="77777777" w:rsidR="00CD5878" w:rsidRPr="000602A6" w:rsidRDefault="00380518" w:rsidP="00935547">
            <w:pPr>
              <w:jc w:val="center"/>
              <w:rPr>
                <w:rFonts w:ascii="Arial" w:hAnsi="Arial" w:cs="Arial"/>
                <w:b/>
                <w:color w:val="FFFFFF" w:themeColor="background1"/>
              </w:rPr>
            </w:pPr>
            <w:r>
              <w:rPr>
                <w:rFonts w:ascii="Arial" w:hAnsi="Arial" w:cs="Arial"/>
                <w:b/>
                <w:color w:val="FFFFFF" w:themeColor="background1"/>
              </w:rPr>
              <w:t>December</w:t>
            </w:r>
            <w:r w:rsidR="00CD5878">
              <w:rPr>
                <w:rFonts w:ascii="Arial" w:hAnsi="Arial" w:cs="Arial"/>
                <w:b/>
                <w:color w:val="FFFFFF" w:themeColor="background1"/>
              </w:rPr>
              <w:t xml:space="preserve"> </w:t>
            </w:r>
            <w:r>
              <w:rPr>
                <w:rFonts w:ascii="Arial" w:hAnsi="Arial" w:cs="Arial"/>
                <w:b/>
                <w:color w:val="FFFFFF" w:themeColor="background1"/>
              </w:rPr>
              <w:t>11</w:t>
            </w:r>
            <w:r w:rsidR="00CD5878">
              <w:rPr>
                <w:rFonts w:ascii="Arial" w:hAnsi="Arial" w:cs="Arial"/>
                <w:b/>
                <w:color w:val="FFFFFF" w:themeColor="background1"/>
              </w:rPr>
              <w:t>, 2019</w:t>
            </w:r>
          </w:p>
        </w:tc>
      </w:tr>
      <w:tr w:rsidR="00CD5878" w:rsidRPr="000602A6" w14:paraId="06D2E03E" w14:textId="77777777" w:rsidTr="00935547">
        <w:trPr>
          <w:trHeight w:val="279"/>
        </w:trPr>
        <w:tc>
          <w:tcPr>
            <w:tcW w:w="2245" w:type="dxa"/>
            <w:shd w:val="clear" w:color="auto" w:fill="1F4E79" w:themeFill="accent1" w:themeFillShade="80"/>
          </w:tcPr>
          <w:p w14:paraId="285695F2"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14:paraId="1CC32E45" w14:textId="77777777" w:rsidR="00CD5878" w:rsidRPr="000602A6" w:rsidRDefault="004B246E" w:rsidP="00935547">
            <w:pPr>
              <w:rPr>
                <w:rFonts w:ascii="Arial" w:hAnsi="Arial" w:cs="Arial"/>
              </w:rPr>
            </w:pPr>
            <w:r>
              <w:rPr>
                <w:rFonts w:ascii="Arial" w:hAnsi="Arial" w:cs="Arial"/>
              </w:rPr>
              <w:t xml:space="preserve">Black Hills Gas Distribution </w:t>
            </w:r>
          </w:p>
        </w:tc>
      </w:tr>
      <w:tr w:rsidR="00CD5878" w:rsidRPr="00B51D1F" w14:paraId="48611C16" w14:textId="77777777" w:rsidTr="00935547">
        <w:trPr>
          <w:trHeight w:val="279"/>
        </w:trPr>
        <w:tc>
          <w:tcPr>
            <w:tcW w:w="2245" w:type="dxa"/>
            <w:shd w:val="clear" w:color="auto" w:fill="1F4E79" w:themeFill="accent1" w:themeFillShade="80"/>
          </w:tcPr>
          <w:p w14:paraId="62F14F76"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14:paraId="5E8250C2" w14:textId="77777777" w:rsidR="00CD5878" w:rsidRPr="00B51D1F" w:rsidRDefault="00380518" w:rsidP="00935547">
            <w:pPr>
              <w:rPr>
                <w:rFonts w:ascii="Arial" w:hAnsi="Arial" w:cs="Arial"/>
              </w:rPr>
            </w:pPr>
            <w:r>
              <w:rPr>
                <w:rFonts w:ascii="Arial" w:hAnsi="Arial" w:cs="Arial"/>
              </w:rPr>
              <w:t>Wyoming</w:t>
            </w:r>
          </w:p>
        </w:tc>
      </w:tr>
      <w:tr w:rsidR="00CD5878" w:rsidRPr="00B51D1F" w14:paraId="3E594728" w14:textId="77777777" w:rsidTr="00935547">
        <w:trPr>
          <w:trHeight w:val="263"/>
        </w:trPr>
        <w:tc>
          <w:tcPr>
            <w:tcW w:w="2245" w:type="dxa"/>
            <w:shd w:val="clear" w:color="auto" w:fill="1F4E79" w:themeFill="accent1" w:themeFillShade="80"/>
          </w:tcPr>
          <w:p w14:paraId="507F4A43"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14:paraId="3E50D71D" w14:textId="77777777" w:rsidR="00CD5878" w:rsidRPr="00B51D1F" w:rsidRDefault="00380518" w:rsidP="00935547">
            <w:pPr>
              <w:rPr>
                <w:rFonts w:ascii="Arial" w:hAnsi="Arial" w:cs="Arial"/>
                <w:color w:val="0000FF"/>
                <w:u w:val="single"/>
              </w:rPr>
            </w:pPr>
            <w:r w:rsidRPr="00380518">
              <w:rPr>
                <w:rFonts w:ascii="Arial" w:hAnsi="Arial" w:cs="Arial"/>
                <w:color w:val="0000FF"/>
                <w:u w:val="single"/>
              </w:rPr>
              <w:t> </w:t>
            </w:r>
            <w:hyperlink r:id="rId25" w:history="1">
              <w:r w:rsidRPr="00380518">
                <w:rPr>
                  <w:rStyle w:val="Hyperlink"/>
                  <w:rFonts w:ascii="Arial" w:hAnsi="Arial" w:cs="Arial"/>
                </w:rPr>
                <w:t>30026-2-GR-19</w:t>
              </w:r>
            </w:hyperlink>
          </w:p>
        </w:tc>
      </w:tr>
      <w:tr w:rsidR="00CD5878" w:rsidRPr="006A20C9" w14:paraId="06C0BDA7" w14:textId="77777777" w:rsidTr="00935547">
        <w:trPr>
          <w:trHeight w:val="279"/>
        </w:trPr>
        <w:tc>
          <w:tcPr>
            <w:tcW w:w="2245" w:type="dxa"/>
            <w:shd w:val="clear" w:color="auto" w:fill="1F4E79" w:themeFill="accent1" w:themeFillShade="80"/>
          </w:tcPr>
          <w:p w14:paraId="020B9849"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14:paraId="11DDD854" w14:textId="77777777" w:rsidR="00CD5878" w:rsidRPr="00380518" w:rsidRDefault="00380518" w:rsidP="00935547">
            <w:pPr>
              <w:rPr>
                <w:rFonts w:ascii="Arial" w:hAnsi="Arial" w:cs="Arial"/>
              </w:rPr>
            </w:pPr>
            <w:r w:rsidRPr="00380518">
              <w:rPr>
                <w:rFonts w:ascii="Arial" w:hAnsi="Arial" w:cs="Arial"/>
              </w:rPr>
              <w:t>$13,200,000</w:t>
            </w:r>
          </w:p>
        </w:tc>
      </w:tr>
      <w:tr w:rsidR="00CD5878" w:rsidRPr="00B51D1F" w14:paraId="5B00463C" w14:textId="77777777" w:rsidTr="00935547">
        <w:trPr>
          <w:trHeight w:val="263"/>
        </w:trPr>
        <w:tc>
          <w:tcPr>
            <w:tcW w:w="2245" w:type="dxa"/>
            <w:shd w:val="clear" w:color="auto" w:fill="1F4E79" w:themeFill="accent1" w:themeFillShade="80"/>
          </w:tcPr>
          <w:p w14:paraId="2B385D73"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14:paraId="2C65DDF2" w14:textId="77777777" w:rsidR="00CD5878" w:rsidRPr="00380518" w:rsidRDefault="00380518" w:rsidP="00935547">
            <w:pPr>
              <w:rPr>
                <w:rFonts w:ascii="Arial" w:hAnsi="Arial" w:cs="Arial"/>
              </w:rPr>
            </w:pPr>
            <w:r w:rsidRPr="00380518">
              <w:rPr>
                <w:rFonts w:ascii="Arial" w:hAnsi="Arial" w:cs="Arial"/>
              </w:rPr>
              <w:t>9.4%</w:t>
            </w:r>
          </w:p>
        </w:tc>
      </w:tr>
      <w:tr w:rsidR="00CD5878" w:rsidRPr="00B51D1F" w14:paraId="13290D5F" w14:textId="77777777" w:rsidTr="00935547">
        <w:trPr>
          <w:trHeight w:val="263"/>
        </w:trPr>
        <w:tc>
          <w:tcPr>
            <w:tcW w:w="2245" w:type="dxa"/>
            <w:shd w:val="clear" w:color="auto" w:fill="1F4E79" w:themeFill="accent1" w:themeFillShade="80"/>
          </w:tcPr>
          <w:p w14:paraId="349343EA" w14:textId="77777777" w:rsidR="00CD5878" w:rsidRPr="00B51D1F" w:rsidRDefault="00CD5878" w:rsidP="00935547">
            <w:pPr>
              <w:rPr>
                <w:rFonts w:ascii="Arial" w:hAnsi="Arial" w:cs="Arial"/>
                <w:b/>
                <w:color w:val="FFFFFF" w:themeColor="background1"/>
              </w:rPr>
            </w:pPr>
            <w:r>
              <w:rPr>
                <w:rFonts w:ascii="Arial" w:hAnsi="Arial" w:cs="Arial"/>
                <w:b/>
                <w:color w:val="FFFFFF" w:themeColor="background1"/>
              </w:rPr>
              <w:t>Intervenors</w:t>
            </w:r>
          </w:p>
        </w:tc>
        <w:tc>
          <w:tcPr>
            <w:tcW w:w="7650" w:type="dxa"/>
          </w:tcPr>
          <w:p w14:paraId="10A132DD" w14:textId="77777777" w:rsidR="00CD5878" w:rsidRPr="00B51D1F" w:rsidRDefault="00380518" w:rsidP="00935547">
            <w:pPr>
              <w:rPr>
                <w:rFonts w:ascii="Arial" w:hAnsi="Arial" w:cs="Arial"/>
              </w:rPr>
            </w:pPr>
            <w:r>
              <w:rPr>
                <w:rFonts w:ascii="Arial" w:hAnsi="Arial" w:cs="Arial"/>
              </w:rPr>
              <w:t>Archer Energy and Federal Executive Agencies</w:t>
            </w:r>
          </w:p>
        </w:tc>
      </w:tr>
      <w:tr w:rsidR="00CD5878" w:rsidRPr="00B51D1F" w14:paraId="0301644A" w14:textId="77777777" w:rsidTr="00935547">
        <w:trPr>
          <w:trHeight w:val="263"/>
        </w:trPr>
        <w:tc>
          <w:tcPr>
            <w:tcW w:w="9895" w:type="dxa"/>
            <w:gridSpan w:val="2"/>
            <w:shd w:val="clear" w:color="auto" w:fill="1F4E79" w:themeFill="accent1" w:themeFillShade="80"/>
          </w:tcPr>
          <w:p w14:paraId="28F2BB1F" w14:textId="77777777" w:rsidR="00CD5878" w:rsidRPr="00B51D1F" w:rsidRDefault="00CD5878" w:rsidP="00935547">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CD5878" w:rsidRPr="00B51D1F" w14:paraId="4AE504E5" w14:textId="77777777" w:rsidTr="00935547">
        <w:trPr>
          <w:trHeight w:val="263"/>
        </w:trPr>
        <w:tc>
          <w:tcPr>
            <w:tcW w:w="9895" w:type="dxa"/>
            <w:gridSpan w:val="2"/>
            <w:shd w:val="clear" w:color="auto" w:fill="FFFFFF" w:themeFill="background1"/>
          </w:tcPr>
          <w:p w14:paraId="67711E0F" w14:textId="77777777" w:rsidR="00380518" w:rsidRDefault="00380518" w:rsidP="00380518">
            <w:pPr>
              <w:contextualSpacing/>
              <w:rPr>
                <w:rFonts w:ascii="Arial" w:eastAsia="Calibri" w:hAnsi="Arial" w:cs="Arial"/>
                <w:bCs/>
              </w:rPr>
            </w:pPr>
            <w:r w:rsidRPr="002F4959">
              <w:rPr>
                <w:rFonts w:ascii="Arial" w:eastAsia="Calibri" w:hAnsi="Arial" w:cs="Arial"/>
                <w:bCs/>
              </w:rPr>
              <w:t>The Wyoming Public Service Commission approved the settlement agreement for Black Hills Corp.'s natural gas utility Black Hills Wyoming Gas LLC to consolidate its base rates and tariffs and for a general rate increase.</w:t>
            </w:r>
            <w:r>
              <w:rPr>
                <w:rFonts w:ascii="Arial" w:eastAsia="Calibri" w:hAnsi="Arial" w:cs="Arial"/>
                <w:bCs/>
              </w:rPr>
              <w:t xml:space="preserve"> The PSC approved a $13.2 million gas rate increase which will go into effect March 1, 2020.</w:t>
            </w:r>
          </w:p>
          <w:p w14:paraId="799B019C" w14:textId="77777777" w:rsidR="00380518" w:rsidRDefault="00380518" w:rsidP="00380518">
            <w:pPr>
              <w:contextualSpacing/>
              <w:rPr>
                <w:rFonts w:ascii="Arial" w:eastAsia="Calibri" w:hAnsi="Arial" w:cs="Arial"/>
                <w:bCs/>
              </w:rPr>
            </w:pPr>
          </w:p>
          <w:p w14:paraId="4A99BE8C" w14:textId="77777777" w:rsidR="00380518" w:rsidRDefault="00380518" w:rsidP="00380518">
            <w:pPr>
              <w:contextualSpacing/>
              <w:rPr>
                <w:rFonts w:ascii="Arial" w:eastAsia="Calibri" w:hAnsi="Arial" w:cs="Arial"/>
                <w:bCs/>
              </w:rPr>
            </w:pPr>
            <w:r w:rsidRPr="005724E7">
              <w:rPr>
                <w:rFonts w:ascii="Arial" w:eastAsia="Calibri" w:hAnsi="Arial" w:cs="Arial"/>
                <w:bCs/>
              </w:rPr>
              <w:t>The rate increase reflects a 9.4% return on equity (50.23% of capital) and a 6.98% return on a year-end rate base valued at $354.4 million. The increase is based on a calendar 2018 test year with adjustments for known and measurable changes through Dec. 31, 2019.</w:t>
            </w:r>
          </w:p>
          <w:p w14:paraId="072FEAE3" w14:textId="77777777" w:rsidR="00380518" w:rsidRDefault="00380518" w:rsidP="00380518">
            <w:pPr>
              <w:contextualSpacing/>
              <w:rPr>
                <w:rFonts w:ascii="Arial" w:eastAsia="Calibri" w:hAnsi="Arial" w:cs="Arial"/>
                <w:bCs/>
              </w:rPr>
            </w:pPr>
          </w:p>
          <w:p w14:paraId="5452BAC4" w14:textId="77777777" w:rsidR="00380518" w:rsidRPr="00A374B9" w:rsidRDefault="00380518" w:rsidP="00380518">
            <w:pPr>
              <w:contextualSpacing/>
              <w:rPr>
                <w:rFonts w:ascii="Arial" w:eastAsia="Calibri" w:hAnsi="Arial" w:cs="Arial"/>
                <w:bCs/>
              </w:rPr>
            </w:pPr>
            <w:r w:rsidRPr="00953016">
              <w:rPr>
                <w:rFonts w:ascii="Arial" w:eastAsia="Calibri" w:hAnsi="Arial" w:cs="Arial"/>
                <w:bCs/>
              </w:rPr>
              <w:lastRenderedPageBreak/>
              <w:t xml:space="preserve">The agreement also permits Black Hills Wyoming to establish a Wyoming Integrity Rider, which would allow the utility to recover costs spent on integrity management programs. </w:t>
            </w:r>
            <w:r w:rsidRPr="00AB20FD">
              <w:rPr>
                <w:rFonts w:ascii="Arial" w:eastAsia="Calibri" w:hAnsi="Arial" w:cs="Arial"/>
                <w:bCs/>
              </w:rPr>
              <w:t xml:space="preserve">Total costs recovered through the WIR are limited to $40 million in project expenditures for the period ending December 31, 2023. Approximately $16 million must be related to the at-risk meter relocation and the yard line replacement program. </w:t>
            </w:r>
          </w:p>
          <w:p w14:paraId="04D3C2CE" w14:textId="77777777" w:rsidR="00CD5878" w:rsidRPr="00B51D1F" w:rsidRDefault="00CD5878" w:rsidP="00935547">
            <w:pPr>
              <w:tabs>
                <w:tab w:val="left" w:pos="240"/>
                <w:tab w:val="center" w:pos="4839"/>
              </w:tabs>
              <w:rPr>
                <w:rFonts w:ascii="Arial" w:hAnsi="Arial" w:cs="Arial"/>
              </w:rPr>
            </w:pPr>
          </w:p>
        </w:tc>
      </w:tr>
    </w:tbl>
    <w:p w14:paraId="4EF99789" w14:textId="77777777" w:rsidR="00CD5878" w:rsidRDefault="00CD5878" w:rsidP="009965F4">
      <w:pPr>
        <w:rPr>
          <w:rFonts w:ascii="Arial" w:hAnsi="Arial" w:cs="Arial"/>
          <w:i/>
          <w:iCs/>
          <w:color w:val="000000"/>
          <w:sz w:val="18"/>
          <w:szCs w:val="18"/>
        </w:rPr>
      </w:pPr>
    </w:p>
    <w:tbl>
      <w:tblPr>
        <w:tblStyle w:val="TableGrid"/>
        <w:tblW w:w="9895" w:type="dxa"/>
        <w:tblLook w:val="04A0" w:firstRow="1" w:lastRow="0" w:firstColumn="1" w:lastColumn="0" w:noHBand="0" w:noVBand="1"/>
      </w:tblPr>
      <w:tblGrid>
        <w:gridCol w:w="2245"/>
        <w:gridCol w:w="7650"/>
      </w:tblGrid>
      <w:tr w:rsidR="00CD5878" w:rsidRPr="000602A6" w14:paraId="5DB1F516" w14:textId="77777777" w:rsidTr="00935547">
        <w:trPr>
          <w:trHeight w:val="279"/>
        </w:trPr>
        <w:tc>
          <w:tcPr>
            <w:tcW w:w="9895" w:type="dxa"/>
            <w:gridSpan w:val="2"/>
            <w:shd w:val="clear" w:color="auto" w:fill="1F4E79" w:themeFill="accent1" w:themeFillShade="80"/>
          </w:tcPr>
          <w:p w14:paraId="58375482" w14:textId="77777777" w:rsidR="00CD5878" w:rsidRPr="000602A6" w:rsidRDefault="00F8765A" w:rsidP="00935547">
            <w:pPr>
              <w:jc w:val="center"/>
              <w:rPr>
                <w:rFonts w:ascii="Arial" w:hAnsi="Arial" w:cs="Arial"/>
                <w:b/>
                <w:color w:val="FFFFFF" w:themeColor="background1"/>
              </w:rPr>
            </w:pPr>
            <w:r>
              <w:rPr>
                <w:rFonts w:ascii="Arial" w:hAnsi="Arial" w:cs="Arial"/>
                <w:b/>
                <w:color w:val="FFFFFF" w:themeColor="background1"/>
              </w:rPr>
              <w:t>December</w:t>
            </w:r>
            <w:r w:rsidR="00CD5878">
              <w:rPr>
                <w:rFonts w:ascii="Arial" w:hAnsi="Arial" w:cs="Arial"/>
                <w:b/>
                <w:color w:val="FFFFFF" w:themeColor="background1"/>
              </w:rPr>
              <w:t xml:space="preserve"> </w:t>
            </w:r>
            <w:r>
              <w:rPr>
                <w:rFonts w:ascii="Arial" w:hAnsi="Arial" w:cs="Arial"/>
                <w:b/>
                <w:color w:val="FFFFFF" w:themeColor="background1"/>
              </w:rPr>
              <w:t>17</w:t>
            </w:r>
            <w:r w:rsidR="00CD5878">
              <w:rPr>
                <w:rFonts w:ascii="Arial" w:hAnsi="Arial" w:cs="Arial"/>
                <w:b/>
                <w:color w:val="FFFFFF" w:themeColor="background1"/>
              </w:rPr>
              <w:t>, 2019</w:t>
            </w:r>
          </w:p>
        </w:tc>
      </w:tr>
      <w:tr w:rsidR="00CD5878" w:rsidRPr="000602A6" w14:paraId="22BBECC5" w14:textId="77777777" w:rsidTr="00935547">
        <w:trPr>
          <w:trHeight w:val="279"/>
        </w:trPr>
        <w:tc>
          <w:tcPr>
            <w:tcW w:w="2245" w:type="dxa"/>
            <w:shd w:val="clear" w:color="auto" w:fill="1F4E79" w:themeFill="accent1" w:themeFillShade="80"/>
          </w:tcPr>
          <w:p w14:paraId="0F14427C"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14:paraId="17473B55" w14:textId="77777777" w:rsidR="00CD5878" w:rsidRPr="000602A6" w:rsidRDefault="00F8765A" w:rsidP="00935547">
            <w:pPr>
              <w:rPr>
                <w:rFonts w:ascii="Arial" w:hAnsi="Arial" w:cs="Arial"/>
              </w:rPr>
            </w:pPr>
            <w:r>
              <w:rPr>
                <w:rFonts w:ascii="Arial" w:hAnsi="Arial" w:cs="Arial"/>
              </w:rPr>
              <w:t>Baltimore Gas &amp; Electric Co.</w:t>
            </w:r>
          </w:p>
        </w:tc>
      </w:tr>
      <w:tr w:rsidR="00CD5878" w:rsidRPr="00B51D1F" w14:paraId="74B4C4AB" w14:textId="77777777" w:rsidTr="00935547">
        <w:trPr>
          <w:trHeight w:val="279"/>
        </w:trPr>
        <w:tc>
          <w:tcPr>
            <w:tcW w:w="2245" w:type="dxa"/>
            <w:shd w:val="clear" w:color="auto" w:fill="1F4E79" w:themeFill="accent1" w:themeFillShade="80"/>
          </w:tcPr>
          <w:p w14:paraId="1E770095"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14:paraId="565E24C0" w14:textId="77777777" w:rsidR="00CD5878" w:rsidRPr="00B51D1F" w:rsidRDefault="00F8765A" w:rsidP="00935547">
            <w:pPr>
              <w:rPr>
                <w:rFonts w:ascii="Arial" w:hAnsi="Arial" w:cs="Arial"/>
              </w:rPr>
            </w:pPr>
            <w:r>
              <w:rPr>
                <w:rFonts w:ascii="Arial" w:hAnsi="Arial" w:cs="Arial"/>
              </w:rPr>
              <w:t>Maryland</w:t>
            </w:r>
          </w:p>
        </w:tc>
      </w:tr>
      <w:tr w:rsidR="00CD5878" w:rsidRPr="00B51D1F" w14:paraId="5374E385" w14:textId="77777777" w:rsidTr="00935547">
        <w:trPr>
          <w:trHeight w:val="263"/>
        </w:trPr>
        <w:tc>
          <w:tcPr>
            <w:tcW w:w="2245" w:type="dxa"/>
            <w:shd w:val="clear" w:color="auto" w:fill="1F4E79" w:themeFill="accent1" w:themeFillShade="80"/>
          </w:tcPr>
          <w:p w14:paraId="55E9DC0A"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14:paraId="07AB58A8" w14:textId="77777777" w:rsidR="00CD5878" w:rsidRPr="00B51D1F" w:rsidRDefault="00CD5878" w:rsidP="00935547">
            <w:pPr>
              <w:rPr>
                <w:rFonts w:ascii="Arial" w:hAnsi="Arial" w:cs="Arial"/>
                <w:color w:val="0000FF"/>
                <w:u w:val="single"/>
              </w:rPr>
            </w:pPr>
          </w:p>
        </w:tc>
      </w:tr>
      <w:tr w:rsidR="00CD5878" w:rsidRPr="006A20C9" w14:paraId="309313F2" w14:textId="77777777" w:rsidTr="00935547">
        <w:trPr>
          <w:trHeight w:val="279"/>
        </w:trPr>
        <w:tc>
          <w:tcPr>
            <w:tcW w:w="2245" w:type="dxa"/>
            <w:shd w:val="clear" w:color="auto" w:fill="1F4E79" w:themeFill="accent1" w:themeFillShade="80"/>
          </w:tcPr>
          <w:p w14:paraId="464951E3"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14:paraId="05D752E0" w14:textId="77777777" w:rsidR="00CD5878" w:rsidRPr="006A20C9" w:rsidRDefault="00F8765A" w:rsidP="00935547">
            <w:pPr>
              <w:rPr>
                <w:rFonts w:ascii="Arial" w:hAnsi="Arial" w:cs="Arial"/>
              </w:rPr>
            </w:pPr>
            <w:r>
              <w:rPr>
                <w:rFonts w:ascii="Arial" w:hAnsi="Arial" w:cs="Arial"/>
              </w:rPr>
              <w:t>$54,000,000</w:t>
            </w:r>
          </w:p>
        </w:tc>
      </w:tr>
      <w:tr w:rsidR="00CD5878" w:rsidRPr="00B51D1F" w14:paraId="029A23A6" w14:textId="77777777" w:rsidTr="00935547">
        <w:trPr>
          <w:trHeight w:val="263"/>
        </w:trPr>
        <w:tc>
          <w:tcPr>
            <w:tcW w:w="2245" w:type="dxa"/>
            <w:shd w:val="clear" w:color="auto" w:fill="1F4E79" w:themeFill="accent1" w:themeFillShade="80"/>
          </w:tcPr>
          <w:p w14:paraId="15710A13"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14:paraId="2C9C489B" w14:textId="77777777" w:rsidR="00CD5878" w:rsidRPr="00B51D1F" w:rsidRDefault="00F8765A" w:rsidP="00935547">
            <w:pPr>
              <w:rPr>
                <w:rFonts w:ascii="Arial" w:hAnsi="Arial" w:cs="Arial"/>
              </w:rPr>
            </w:pPr>
            <w:r>
              <w:rPr>
                <w:rFonts w:ascii="Arial" w:hAnsi="Arial" w:cs="Arial"/>
              </w:rPr>
              <w:t>9.75%</w:t>
            </w:r>
          </w:p>
        </w:tc>
      </w:tr>
      <w:tr w:rsidR="00CD5878" w:rsidRPr="00B51D1F" w14:paraId="0705BD1F" w14:textId="77777777" w:rsidTr="00935547">
        <w:trPr>
          <w:trHeight w:val="263"/>
        </w:trPr>
        <w:tc>
          <w:tcPr>
            <w:tcW w:w="2245" w:type="dxa"/>
            <w:shd w:val="clear" w:color="auto" w:fill="1F4E79" w:themeFill="accent1" w:themeFillShade="80"/>
          </w:tcPr>
          <w:p w14:paraId="6E5659C3" w14:textId="77777777" w:rsidR="00CD5878" w:rsidRPr="00B51D1F" w:rsidRDefault="00CD5878" w:rsidP="00935547">
            <w:pPr>
              <w:rPr>
                <w:rFonts w:ascii="Arial" w:hAnsi="Arial" w:cs="Arial"/>
                <w:b/>
                <w:color w:val="FFFFFF" w:themeColor="background1"/>
              </w:rPr>
            </w:pPr>
            <w:r>
              <w:rPr>
                <w:rFonts w:ascii="Arial" w:hAnsi="Arial" w:cs="Arial"/>
                <w:b/>
                <w:color w:val="FFFFFF" w:themeColor="background1"/>
              </w:rPr>
              <w:t>Intervenors</w:t>
            </w:r>
          </w:p>
        </w:tc>
        <w:tc>
          <w:tcPr>
            <w:tcW w:w="7650" w:type="dxa"/>
          </w:tcPr>
          <w:p w14:paraId="01BE9278" w14:textId="77777777" w:rsidR="00CD5878" w:rsidRPr="00B51D1F" w:rsidRDefault="00CD5878" w:rsidP="00935547">
            <w:pPr>
              <w:rPr>
                <w:rFonts w:ascii="Arial" w:hAnsi="Arial" w:cs="Arial"/>
              </w:rPr>
            </w:pPr>
          </w:p>
        </w:tc>
      </w:tr>
      <w:tr w:rsidR="00CD5878" w:rsidRPr="00B51D1F" w14:paraId="443D9319" w14:textId="77777777" w:rsidTr="00935547">
        <w:trPr>
          <w:trHeight w:val="263"/>
        </w:trPr>
        <w:tc>
          <w:tcPr>
            <w:tcW w:w="9895" w:type="dxa"/>
            <w:gridSpan w:val="2"/>
            <w:shd w:val="clear" w:color="auto" w:fill="1F4E79" w:themeFill="accent1" w:themeFillShade="80"/>
          </w:tcPr>
          <w:p w14:paraId="0234F23C" w14:textId="77777777" w:rsidR="00CD5878" w:rsidRPr="00B51D1F" w:rsidRDefault="00CD5878" w:rsidP="00935547">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CD5878" w:rsidRPr="00B51D1F" w14:paraId="54C33860" w14:textId="77777777" w:rsidTr="00935547">
        <w:trPr>
          <w:trHeight w:val="263"/>
        </w:trPr>
        <w:tc>
          <w:tcPr>
            <w:tcW w:w="9895" w:type="dxa"/>
            <w:gridSpan w:val="2"/>
            <w:shd w:val="clear" w:color="auto" w:fill="FFFFFF" w:themeFill="background1"/>
          </w:tcPr>
          <w:p w14:paraId="0940F038" w14:textId="77777777" w:rsidR="00CD5878" w:rsidRDefault="00CD5878" w:rsidP="00935547">
            <w:pPr>
              <w:tabs>
                <w:tab w:val="left" w:pos="240"/>
                <w:tab w:val="center" w:pos="4839"/>
              </w:tabs>
              <w:rPr>
                <w:rFonts w:ascii="Arial" w:hAnsi="Arial" w:cs="Arial"/>
              </w:rPr>
            </w:pPr>
            <w:r w:rsidRPr="00F51ABC">
              <w:rPr>
                <w:rFonts w:ascii="Arial" w:hAnsi="Arial" w:cs="Arial"/>
              </w:rPr>
              <w:t>On Sept. 26, 2019, the PSC authorized C</w:t>
            </w:r>
            <w:r>
              <w:rPr>
                <w:rFonts w:ascii="Arial" w:hAnsi="Arial" w:cs="Arial"/>
              </w:rPr>
              <w:t>itizens Energy</w:t>
            </w:r>
            <w:r w:rsidRPr="00F51ABC">
              <w:rPr>
                <w:rFonts w:ascii="Arial" w:hAnsi="Arial" w:cs="Arial"/>
              </w:rPr>
              <w:t xml:space="preserve"> a $143.5 million rate increase effective Oct. 1, 2019, premised upon a 9.90% return on equity (41.78% of a regulatory capital structure) and a 5.84% return on a rate base valued at $6.429 billion and a test year ending Sept. 30, 2020.</w:t>
            </w:r>
          </w:p>
          <w:p w14:paraId="5AED181F" w14:textId="77777777" w:rsidR="00CD5878" w:rsidRPr="00B51D1F" w:rsidRDefault="00CD5878" w:rsidP="00935547">
            <w:pPr>
              <w:tabs>
                <w:tab w:val="left" w:pos="240"/>
                <w:tab w:val="center" w:pos="4839"/>
              </w:tabs>
              <w:rPr>
                <w:rFonts w:ascii="Arial" w:hAnsi="Arial" w:cs="Arial"/>
              </w:rPr>
            </w:pPr>
          </w:p>
        </w:tc>
      </w:tr>
    </w:tbl>
    <w:p w14:paraId="60568FEB" w14:textId="77777777" w:rsidR="00CD5878" w:rsidRDefault="00CD5878" w:rsidP="009965F4">
      <w:pPr>
        <w:rPr>
          <w:rFonts w:ascii="Arial" w:hAnsi="Arial" w:cs="Arial"/>
          <w:i/>
          <w:iCs/>
          <w:color w:val="000000"/>
          <w:sz w:val="18"/>
          <w:szCs w:val="18"/>
        </w:rPr>
      </w:pPr>
    </w:p>
    <w:tbl>
      <w:tblPr>
        <w:tblStyle w:val="TableGrid"/>
        <w:tblW w:w="9895" w:type="dxa"/>
        <w:tblLook w:val="04A0" w:firstRow="1" w:lastRow="0" w:firstColumn="1" w:lastColumn="0" w:noHBand="0" w:noVBand="1"/>
      </w:tblPr>
      <w:tblGrid>
        <w:gridCol w:w="2245"/>
        <w:gridCol w:w="7650"/>
      </w:tblGrid>
      <w:tr w:rsidR="00CD5878" w:rsidRPr="000602A6" w14:paraId="5B88F28E" w14:textId="77777777" w:rsidTr="00935547">
        <w:trPr>
          <w:trHeight w:val="279"/>
        </w:trPr>
        <w:tc>
          <w:tcPr>
            <w:tcW w:w="9895" w:type="dxa"/>
            <w:gridSpan w:val="2"/>
            <w:shd w:val="clear" w:color="auto" w:fill="1F4E79" w:themeFill="accent1" w:themeFillShade="80"/>
          </w:tcPr>
          <w:p w14:paraId="73DC0A6D" w14:textId="77777777" w:rsidR="00CD5878" w:rsidRPr="000602A6" w:rsidRDefault="00F8765A" w:rsidP="00935547">
            <w:pPr>
              <w:jc w:val="center"/>
              <w:rPr>
                <w:rFonts w:ascii="Arial" w:hAnsi="Arial" w:cs="Arial"/>
                <w:b/>
                <w:color w:val="FFFFFF" w:themeColor="background1"/>
              </w:rPr>
            </w:pPr>
            <w:r>
              <w:rPr>
                <w:rFonts w:ascii="Arial" w:hAnsi="Arial" w:cs="Arial"/>
                <w:b/>
                <w:color w:val="FFFFFF" w:themeColor="background1"/>
              </w:rPr>
              <w:t>December 18</w:t>
            </w:r>
            <w:r w:rsidR="00CD5878">
              <w:rPr>
                <w:rFonts w:ascii="Arial" w:hAnsi="Arial" w:cs="Arial"/>
                <w:b/>
                <w:color w:val="FFFFFF" w:themeColor="background1"/>
              </w:rPr>
              <w:t>, 2019</w:t>
            </w:r>
          </w:p>
        </w:tc>
      </w:tr>
      <w:tr w:rsidR="00CD5878" w:rsidRPr="000602A6" w14:paraId="02D1B64E" w14:textId="77777777" w:rsidTr="00935547">
        <w:trPr>
          <w:trHeight w:val="279"/>
        </w:trPr>
        <w:tc>
          <w:tcPr>
            <w:tcW w:w="2245" w:type="dxa"/>
            <w:shd w:val="clear" w:color="auto" w:fill="1F4E79" w:themeFill="accent1" w:themeFillShade="80"/>
          </w:tcPr>
          <w:p w14:paraId="2FCE0E46"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14:paraId="0F06615C" w14:textId="77777777" w:rsidR="00CD5878" w:rsidRPr="000602A6" w:rsidRDefault="00F8765A" w:rsidP="00935547">
            <w:pPr>
              <w:rPr>
                <w:rFonts w:ascii="Arial" w:hAnsi="Arial" w:cs="Arial"/>
              </w:rPr>
            </w:pPr>
            <w:r>
              <w:rPr>
                <w:rFonts w:ascii="Arial" w:hAnsi="Arial" w:cs="Arial"/>
              </w:rPr>
              <w:t>Interstate Power &amp; Light Co.</w:t>
            </w:r>
          </w:p>
        </w:tc>
      </w:tr>
      <w:tr w:rsidR="00CD5878" w:rsidRPr="00B51D1F" w14:paraId="1FC49A5D" w14:textId="77777777" w:rsidTr="00935547">
        <w:trPr>
          <w:trHeight w:val="279"/>
        </w:trPr>
        <w:tc>
          <w:tcPr>
            <w:tcW w:w="2245" w:type="dxa"/>
            <w:shd w:val="clear" w:color="auto" w:fill="1F4E79" w:themeFill="accent1" w:themeFillShade="80"/>
          </w:tcPr>
          <w:p w14:paraId="424B846F"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14:paraId="662475B5" w14:textId="77777777" w:rsidR="00CD5878" w:rsidRPr="00B51D1F" w:rsidRDefault="00F8765A" w:rsidP="00935547">
            <w:pPr>
              <w:rPr>
                <w:rFonts w:ascii="Arial" w:hAnsi="Arial" w:cs="Arial"/>
              </w:rPr>
            </w:pPr>
            <w:r>
              <w:rPr>
                <w:rFonts w:ascii="Arial" w:hAnsi="Arial" w:cs="Arial"/>
              </w:rPr>
              <w:t>Iowa</w:t>
            </w:r>
          </w:p>
        </w:tc>
      </w:tr>
      <w:tr w:rsidR="00CD5878" w:rsidRPr="00B51D1F" w14:paraId="1677368B" w14:textId="77777777" w:rsidTr="00935547">
        <w:trPr>
          <w:trHeight w:val="263"/>
        </w:trPr>
        <w:tc>
          <w:tcPr>
            <w:tcW w:w="2245" w:type="dxa"/>
            <w:shd w:val="clear" w:color="auto" w:fill="1F4E79" w:themeFill="accent1" w:themeFillShade="80"/>
          </w:tcPr>
          <w:p w14:paraId="5462B40E"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14:paraId="69A267DB" w14:textId="77777777" w:rsidR="00CD5878" w:rsidRPr="00B51D1F" w:rsidRDefault="00F103A3" w:rsidP="00935547">
            <w:pPr>
              <w:rPr>
                <w:rFonts w:ascii="Arial" w:hAnsi="Arial" w:cs="Arial"/>
                <w:color w:val="0000FF"/>
                <w:u w:val="single"/>
              </w:rPr>
            </w:pPr>
            <w:r w:rsidRPr="00F103A3">
              <w:rPr>
                <w:rFonts w:ascii="Arial" w:hAnsi="Arial" w:cs="Arial"/>
                <w:color w:val="0000FF"/>
                <w:u w:val="single"/>
              </w:rPr>
              <w:t> </w:t>
            </w:r>
            <w:hyperlink r:id="rId26" w:history="1">
              <w:r w:rsidRPr="00CE0407">
                <w:rPr>
                  <w:rStyle w:val="Hyperlink"/>
                  <w:rFonts w:ascii="Arial" w:hAnsi="Arial" w:cs="Arial"/>
                </w:rPr>
                <w:t>RPU-2019-0002</w:t>
              </w:r>
            </w:hyperlink>
          </w:p>
        </w:tc>
      </w:tr>
      <w:tr w:rsidR="00CD5878" w:rsidRPr="006A20C9" w14:paraId="14F4C2BB" w14:textId="77777777" w:rsidTr="00935547">
        <w:trPr>
          <w:trHeight w:val="279"/>
        </w:trPr>
        <w:tc>
          <w:tcPr>
            <w:tcW w:w="2245" w:type="dxa"/>
            <w:shd w:val="clear" w:color="auto" w:fill="1F4E79" w:themeFill="accent1" w:themeFillShade="80"/>
          </w:tcPr>
          <w:p w14:paraId="7674413E"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14:paraId="64F7E40D" w14:textId="77777777" w:rsidR="00CD5878" w:rsidRPr="006A20C9" w:rsidRDefault="00F8765A" w:rsidP="00935547">
            <w:pPr>
              <w:rPr>
                <w:rFonts w:ascii="Arial" w:hAnsi="Arial" w:cs="Arial"/>
              </w:rPr>
            </w:pPr>
            <w:r>
              <w:rPr>
                <w:rFonts w:ascii="Arial" w:hAnsi="Arial" w:cs="Arial"/>
              </w:rPr>
              <w:t>$11,800,000</w:t>
            </w:r>
          </w:p>
        </w:tc>
      </w:tr>
      <w:tr w:rsidR="00CD5878" w:rsidRPr="00B51D1F" w14:paraId="5303BAE0" w14:textId="77777777" w:rsidTr="00935547">
        <w:trPr>
          <w:trHeight w:val="263"/>
        </w:trPr>
        <w:tc>
          <w:tcPr>
            <w:tcW w:w="2245" w:type="dxa"/>
            <w:shd w:val="clear" w:color="auto" w:fill="1F4E79" w:themeFill="accent1" w:themeFillShade="80"/>
          </w:tcPr>
          <w:p w14:paraId="0CDF4B04"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14:paraId="6D4D8C14" w14:textId="77777777" w:rsidR="00CD5878" w:rsidRPr="00B51D1F" w:rsidRDefault="00F8765A" w:rsidP="00935547">
            <w:pPr>
              <w:rPr>
                <w:rFonts w:ascii="Arial" w:hAnsi="Arial" w:cs="Arial"/>
              </w:rPr>
            </w:pPr>
            <w:r>
              <w:rPr>
                <w:rFonts w:ascii="Arial" w:hAnsi="Arial" w:cs="Arial"/>
              </w:rPr>
              <w:t>9.60%</w:t>
            </w:r>
          </w:p>
        </w:tc>
      </w:tr>
      <w:tr w:rsidR="00CD5878" w:rsidRPr="00B51D1F" w14:paraId="61F1FCBD" w14:textId="77777777" w:rsidTr="00935547">
        <w:trPr>
          <w:trHeight w:val="263"/>
        </w:trPr>
        <w:tc>
          <w:tcPr>
            <w:tcW w:w="2245" w:type="dxa"/>
            <w:shd w:val="clear" w:color="auto" w:fill="1F4E79" w:themeFill="accent1" w:themeFillShade="80"/>
          </w:tcPr>
          <w:p w14:paraId="5124F486" w14:textId="77777777" w:rsidR="00CD5878" w:rsidRPr="00B51D1F" w:rsidRDefault="00CD5878" w:rsidP="00935547">
            <w:pPr>
              <w:rPr>
                <w:rFonts w:ascii="Arial" w:hAnsi="Arial" w:cs="Arial"/>
                <w:b/>
                <w:color w:val="FFFFFF" w:themeColor="background1"/>
              </w:rPr>
            </w:pPr>
            <w:r>
              <w:rPr>
                <w:rFonts w:ascii="Arial" w:hAnsi="Arial" w:cs="Arial"/>
                <w:b/>
                <w:color w:val="FFFFFF" w:themeColor="background1"/>
              </w:rPr>
              <w:t>Intervenors</w:t>
            </w:r>
          </w:p>
        </w:tc>
        <w:tc>
          <w:tcPr>
            <w:tcW w:w="7650" w:type="dxa"/>
          </w:tcPr>
          <w:p w14:paraId="11C587A8" w14:textId="77777777" w:rsidR="00CD5878" w:rsidRPr="00B51D1F" w:rsidRDefault="00F103A3" w:rsidP="00935547">
            <w:pPr>
              <w:rPr>
                <w:rFonts w:ascii="Arial" w:hAnsi="Arial" w:cs="Arial"/>
              </w:rPr>
            </w:pPr>
            <w:r>
              <w:rPr>
                <w:rFonts w:ascii="Arial" w:hAnsi="Arial" w:cs="Arial"/>
              </w:rPr>
              <w:t>MidAmerican Energy Company</w:t>
            </w:r>
            <w:r w:rsidR="00CE0407">
              <w:rPr>
                <w:rFonts w:ascii="Arial" w:hAnsi="Arial" w:cs="Arial"/>
              </w:rPr>
              <w:t xml:space="preserve"> and</w:t>
            </w:r>
            <w:r>
              <w:rPr>
                <w:rFonts w:ascii="Arial" w:hAnsi="Arial" w:cs="Arial"/>
              </w:rPr>
              <w:t xml:space="preserve"> Iowa Business Energy Coalition, </w:t>
            </w:r>
          </w:p>
        </w:tc>
      </w:tr>
      <w:tr w:rsidR="00CD5878" w:rsidRPr="00B51D1F" w14:paraId="2AE692CC" w14:textId="77777777" w:rsidTr="00935547">
        <w:trPr>
          <w:trHeight w:val="263"/>
        </w:trPr>
        <w:tc>
          <w:tcPr>
            <w:tcW w:w="9895" w:type="dxa"/>
            <w:gridSpan w:val="2"/>
            <w:shd w:val="clear" w:color="auto" w:fill="1F4E79" w:themeFill="accent1" w:themeFillShade="80"/>
          </w:tcPr>
          <w:p w14:paraId="1B79CE28" w14:textId="77777777" w:rsidR="00CD5878" w:rsidRPr="00B51D1F" w:rsidRDefault="00CD5878" w:rsidP="00935547">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CD5878" w:rsidRPr="00B51D1F" w14:paraId="278E06AF" w14:textId="77777777" w:rsidTr="00935547">
        <w:trPr>
          <w:trHeight w:val="263"/>
        </w:trPr>
        <w:tc>
          <w:tcPr>
            <w:tcW w:w="9895" w:type="dxa"/>
            <w:gridSpan w:val="2"/>
            <w:shd w:val="clear" w:color="auto" w:fill="FFFFFF" w:themeFill="background1"/>
          </w:tcPr>
          <w:p w14:paraId="6A9A73C6" w14:textId="77777777" w:rsidR="00CD5878" w:rsidRDefault="00CD5878" w:rsidP="00935547">
            <w:pPr>
              <w:tabs>
                <w:tab w:val="left" w:pos="240"/>
                <w:tab w:val="center" w:pos="4839"/>
              </w:tabs>
              <w:rPr>
                <w:rFonts w:ascii="Arial" w:hAnsi="Arial" w:cs="Arial"/>
              </w:rPr>
            </w:pPr>
          </w:p>
          <w:p w14:paraId="425860B3" w14:textId="77777777" w:rsidR="00F103A3" w:rsidRPr="00F103A3" w:rsidRDefault="00F103A3" w:rsidP="00F103A3">
            <w:pPr>
              <w:tabs>
                <w:tab w:val="left" w:pos="240"/>
                <w:tab w:val="center" w:pos="4839"/>
              </w:tabs>
              <w:rPr>
                <w:rFonts w:ascii="Arial" w:hAnsi="Arial" w:cs="Arial"/>
              </w:rPr>
            </w:pPr>
            <w:r w:rsidRPr="00F103A3">
              <w:rPr>
                <w:rFonts w:ascii="Arial" w:hAnsi="Arial" w:cs="Arial"/>
              </w:rPr>
              <w:t>The Iowa Utilities Board on December 18 issued a final order in the case of Alliant Energy Corp. subsidiary Interstate Power &amp; Light Co.'s request for a gas base rate increase.</w:t>
            </w:r>
          </w:p>
          <w:p w14:paraId="538290D6" w14:textId="77777777" w:rsidR="00F103A3" w:rsidRPr="00F103A3" w:rsidRDefault="00F103A3" w:rsidP="00F103A3">
            <w:pPr>
              <w:tabs>
                <w:tab w:val="left" w:pos="240"/>
                <w:tab w:val="center" w:pos="4839"/>
              </w:tabs>
              <w:rPr>
                <w:rFonts w:ascii="Arial" w:hAnsi="Arial" w:cs="Arial"/>
              </w:rPr>
            </w:pPr>
          </w:p>
          <w:p w14:paraId="52FB4B77" w14:textId="77777777" w:rsidR="00CD5878" w:rsidRDefault="00F103A3" w:rsidP="00F103A3">
            <w:pPr>
              <w:tabs>
                <w:tab w:val="left" w:pos="240"/>
                <w:tab w:val="center" w:pos="4839"/>
              </w:tabs>
              <w:rPr>
                <w:rFonts w:ascii="Arial" w:hAnsi="Arial" w:cs="Arial"/>
              </w:rPr>
            </w:pPr>
            <w:r w:rsidRPr="00F103A3">
              <w:rPr>
                <w:rFonts w:ascii="Arial" w:hAnsi="Arial" w:cs="Arial"/>
              </w:rPr>
              <w:t>Through its order, the Board approved a settlement that was reached in October, which called for an $11.8 million permanent increase that is about $9.2 million lower than the company's initial request in Docket No. RPU-2019-0002. The change in rates is based on a 9.6% return on equity (51% of capital) and a 7.02% return on an average rate base valued at $557.4 million for a test year ended December 31, 2020.</w:t>
            </w:r>
          </w:p>
          <w:p w14:paraId="0D8AF963" w14:textId="77777777" w:rsidR="00CD5878" w:rsidRPr="00B51D1F" w:rsidRDefault="00CD5878" w:rsidP="00935547">
            <w:pPr>
              <w:tabs>
                <w:tab w:val="left" w:pos="240"/>
                <w:tab w:val="center" w:pos="4839"/>
              </w:tabs>
              <w:rPr>
                <w:rFonts w:ascii="Arial" w:hAnsi="Arial" w:cs="Arial"/>
              </w:rPr>
            </w:pPr>
          </w:p>
        </w:tc>
      </w:tr>
    </w:tbl>
    <w:p w14:paraId="0EA33880" w14:textId="7ACBB100" w:rsidR="00CD5878" w:rsidRDefault="00CD5878" w:rsidP="009965F4">
      <w:pPr>
        <w:rPr>
          <w:rFonts w:ascii="Arial" w:hAnsi="Arial" w:cs="Arial"/>
          <w:i/>
          <w:iCs/>
          <w:color w:val="000000"/>
          <w:sz w:val="18"/>
          <w:szCs w:val="18"/>
        </w:rPr>
      </w:pPr>
    </w:p>
    <w:p w14:paraId="73524C86" w14:textId="374EB6E1" w:rsidR="00717086" w:rsidRDefault="00717086" w:rsidP="009965F4">
      <w:pPr>
        <w:rPr>
          <w:rFonts w:ascii="Arial" w:hAnsi="Arial" w:cs="Arial"/>
          <w:i/>
          <w:iCs/>
          <w:color w:val="000000"/>
          <w:sz w:val="18"/>
          <w:szCs w:val="18"/>
        </w:rPr>
      </w:pPr>
    </w:p>
    <w:p w14:paraId="61CA9580" w14:textId="77777777" w:rsidR="00717086" w:rsidRDefault="00717086" w:rsidP="009965F4">
      <w:pPr>
        <w:rPr>
          <w:rFonts w:ascii="Arial" w:hAnsi="Arial" w:cs="Arial"/>
          <w:i/>
          <w:iCs/>
          <w:color w:val="000000"/>
          <w:sz w:val="18"/>
          <w:szCs w:val="18"/>
        </w:rPr>
      </w:pPr>
    </w:p>
    <w:tbl>
      <w:tblPr>
        <w:tblStyle w:val="TableGrid"/>
        <w:tblW w:w="9895" w:type="dxa"/>
        <w:tblLook w:val="04A0" w:firstRow="1" w:lastRow="0" w:firstColumn="1" w:lastColumn="0" w:noHBand="0" w:noVBand="1"/>
      </w:tblPr>
      <w:tblGrid>
        <w:gridCol w:w="2245"/>
        <w:gridCol w:w="7650"/>
      </w:tblGrid>
      <w:tr w:rsidR="00CD5878" w:rsidRPr="000602A6" w14:paraId="78A8F21C" w14:textId="77777777" w:rsidTr="00935547">
        <w:trPr>
          <w:trHeight w:val="279"/>
        </w:trPr>
        <w:tc>
          <w:tcPr>
            <w:tcW w:w="9895" w:type="dxa"/>
            <w:gridSpan w:val="2"/>
            <w:shd w:val="clear" w:color="auto" w:fill="1F4E79" w:themeFill="accent1" w:themeFillShade="80"/>
          </w:tcPr>
          <w:p w14:paraId="26BB4092" w14:textId="77777777" w:rsidR="00CD5878" w:rsidRPr="000602A6" w:rsidRDefault="00F8765A" w:rsidP="00935547">
            <w:pPr>
              <w:jc w:val="center"/>
              <w:rPr>
                <w:rFonts w:ascii="Arial" w:hAnsi="Arial" w:cs="Arial"/>
                <w:b/>
                <w:color w:val="FFFFFF" w:themeColor="background1"/>
              </w:rPr>
            </w:pPr>
            <w:r>
              <w:rPr>
                <w:rFonts w:ascii="Arial" w:hAnsi="Arial" w:cs="Arial"/>
                <w:b/>
                <w:color w:val="FFFFFF" w:themeColor="background1"/>
              </w:rPr>
              <w:lastRenderedPageBreak/>
              <w:t>December</w:t>
            </w:r>
            <w:r w:rsidR="00CD5878">
              <w:rPr>
                <w:rFonts w:ascii="Arial" w:hAnsi="Arial" w:cs="Arial"/>
                <w:b/>
                <w:color w:val="FFFFFF" w:themeColor="background1"/>
              </w:rPr>
              <w:t xml:space="preserve"> </w:t>
            </w:r>
            <w:r>
              <w:rPr>
                <w:rFonts w:ascii="Arial" w:hAnsi="Arial" w:cs="Arial"/>
                <w:b/>
                <w:color w:val="FFFFFF" w:themeColor="background1"/>
              </w:rPr>
              <w:t>18</w:t>
            </w:r>
            <w:r w:rsidR="00CD5878">
              <w:rPr>
                <w:rFonts w:ascii="Arial" w:hAnsi="Arial" w:cs="Arial"/>
                <w:b/>
                <w:color w:val="FFFFFF" w:themeColor="background1"/>
              </w:rPr>
              <w:t>, 2019</w:t>
            </w:r>
          </w:p>
        </w:tc>
      </w:tr>
      <w:tr w:rsidR="00CD5878" w:rsidRPr="000602A6" w14:paraId="070F2225" w14:textId="77777777" w:rsidTr="00935547">
        <w:trPr>
          <w:trHeight w:val="279"/>
        </w:trPr>
        <w:tc>
          <w:tcPr>
            <w:tcW w:w="2245" w:type="dxa"/>
            <w:shd w:val="clear" w:color="auto" w:fill="1F4E79" w:themeFill="accent1" w:themeFillShade="80"/>
          </w:tcPr>
          <w:p w14:paraId="045D0A8C"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14:paraId="006A3F68" w14:textId="77777777" w:rsidR="00CD5878" w:rsidRPr="000602A6" w:rsidRDefault="00F8765A" w:rsidP="00935547">
            <w:pPr>
              <w:rPr>
                <w:rFonts w:ascii="Arial" w:hAnsi="Arial" w:cs="Arial"/>
              </w:rPr>
            </w:pPr>
            <w:r>
              <w:rPr>
                <w:rFonts w:ascii="Arial" w:hAnsi="Arial" w:cs="Arial"/>
              </w:rPr>
              <w:t>Columbia Gas of Maryland</w:t>
            </w:r>
          </w:p>
        </w:tc>
      </w:tr>
      <w:tr w:rsidR="00CD5878" w:rsidRPr="00B51D1F" w14:paraId="2AED99A1" w14:textId="77777777" w:rsidTr="00935547">
        <w:trPr>
          <w:trHeight w:val="279"/>
        </w:trPr>
        <w:tc>
          <w:tcPr>
            <w:tcW w:w="2245" w:type="dxa"/>
            <w:shd w:val="clear" w:color="auto" w:fill="1F4E79" w:themeFill="accent1" w:themeFillShade="80"/>
          </w:tcPr>
          <w:p w14:paraId="6A9DA31B"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14:paraId="3C873AF5" w14:textId="77777777" w:rsidR="00CD5878" w:rsidRPr="00B51D1F" w:rsidRDefault="00CD5878" w:rsidP="00935547">
            <w:pPr>
              <w:rPr>
                <w:rFonts w:ascii="Arial" w:hAnsi="Arial" w:cs="Arial"/>
              </w:rPr>
            </w:pPr>
            <w:r>
              <w:rPr>
                <w:rFonts w:ascii="Arial" w:hAnsi="Arial" w:cs="Arial"/>
              </w:rPr>
              <w:t>M</w:t>
            </w:r>
            <w:r w:rsidR="00F8765A">
              <w:rPr>
                <w:rFonts w:ascii="Arial" w:hAnsi="Arial" w:cs="Arial"/>
              </w:rPr>
              <w:t>aryland</w:t>
            </w:r>
          </w:p>
        </w:tc>
      </w:tr>
      <w:tr w:rsidR="00CD5878" w:rsidRPr="00B51D1F" w14:paraId="1667A108" w14:textId="77777777" w:rsidTr="00935547">
        <w:trPr>
          <w:trHeight w:val="263"/>
        </w:trPr>
        <w:tc>
          <w:tcPr>
            <w:tcW w:w="2245" w:type="dxa"/>
            <w:shd w:val="clear" w:color="auto" w:fill="1F4E79" w:themeFill="accent1" w:themeFillShade="80"/>
          </w:tcPr>
          <w:p w14:paraId="782B7A0B"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14:paraId="36F5FFEB" w14:textId="77777777" w:rsidR="00CD5878" w:rsidRPr="00B51D1F" w:rsidRDefault="009718A3" w:rsidP="00935547">
            <w:pPr>
              <w:rPr>
                <w:rFonts w:ascii="Arial" w:hAnsi="Arial" w:cs="Arial"/>
                <w:color w:val="0000FF"/>
                <w:u w:val="single"/>
              </w:rPr>
            </w:pPr>
            <w:hyperlink r:id="rId27" w:history="1">
              <w:r w:rsidRPr="009718A3">
                <w:rPr>
                  <w:rStyle w:val="Hyperlink"/>
                  <w:rFonts w:ascii="Arial" w:hAnsi="Arial" w:cs="Arial"/>
                </w:rPr>
                <w:t>Case No. 9609</w:t>
              </w:r>
            </w:hyperlink>
          </w:p>
        </w:tc>
      </w:tr>
      <w:tr w:rsidR="00CD5878" w:rsidRPr="006A20C9" w14:paraId="0F2FBCC0" w14:textId="77777777" w:rsidTr="00935547">
        <w:trPr>
          <w:trHeight w:val="279"/>
        </w:trPr>
        <w:tc>
          <w:tcPr>
            <w:tcW w:w="2245" w:type="dxa"/>
            <w:shd w:val="clear" w:color="auto" w:fill="1F4E79" w:themeFill="accent1" w:themeFillShade="80"/>
          </w:tcPr>
          <w:p w14:paraId="20996E66"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14:paraId="392D0543" w14:textId="77777777" w:rsidR="00CD5878" w:rsidRPr="006A20C9" w:rsidRDefault="00CD5878" w:rsidP="00935547">
            <w:pPr>
              <w:rPr>
                <w:rFonts w:ascii="Arial" w:hAnsi="Arial" w:cs="Arial"/>
              </w:rPr>
            </w:pPr>
            <w:r w:rsidRPr="006A20C9">
              <w:rPr>
                <w:rFonts w:ascii="Arial" w:hAnsi="Arial" w:cs="Arial"/>
              </w:rPr>
              <w:t>$</w:t>
            </w:r>
            <w:r w:rsidR="00F8765A">
              <w:rPr>
                <w:rFonts w:ascii="Arial" w:hAnsi="Arial" w:cs="Arial"/>
              </w:rPr>
              <w:t>1,000,000</w:t>
            </w:r>
          </w:p>
        </w:tc>
      </w:tr>
      <w:tr w:rsidR="00CD5878" w:rsidRPr="00B51D1F" w14:paraId="31AD59FB" w14:textId="77777777" w:rsidTr="00935547">
        <w:trPr>
          <w:trHeight w:val="263"/>
        </w:trPr>
        <w:tc>
          <w:tcPr>
            <w:tcW w:w="2245" w:type="dxa"/>
            <w:shd w:val="clear" w:color="auto" w:fill="1F4E79" w:themeFill="accent1" w:themeFillShade="80"/>
          </w:tcPr>
          <w:p w14:paraId="3568CA52"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14:paraId="10268AF4" w14:textId="77777777" w:rsidR="00CD5878" w:rsidRPr="00B51D1F" w:rsidRDefault="00F8765A" w:rsidP="00935547">
            <w:pPr>
              <w:rPr>
                <w:rFonts w:ascii="Arial" w:hAnsi="Arial" w:cs="Arial"/>
              </w:rPr>
            </w:pPr>
            <w:r>
              <w:rPr>
                <w:rFonts w:ascii="Arial" w:hAnsi="Arial" w:cs="Arial"/>
              </w:rPr>
              <w:t>9.6%</w:t>
            </w:r>
          </w:p>
        </w:tc>
      </w:tr>
      <w:tr w:rsidR="00CD5878" w:rsidRPr="00B51D1F" w14:paraId="42C6E957" w14:textId="77777777" w:rsidTr="00935547">
        <w:trPr>
          <w:trHeight w:val="263"/>
        </w:trPr>
        <w:tc>
          <w:tcPr>
            <w:tcW w:w="2245" w:type="dxa"/>
            <w:shd w:val="clear" w:color="auto" w:fill="1F4E79" w:themeFill="accent1" w:themeFillShade="80"/>
          </w:tcPr>
          <w:p w14:paraId="6261B385" w14:textId="77777777" w:rsidR="00CD5878" w:rsidRPr="00B51D1F" w:rsidRDefault="00CD5878" w:rsidP="00935547">
            <w:pPr>
              <w:rPr>
                <w:rFonts w:ascii="Arial" w:hAnsi="Arial" w:cs="Arial"/>
                <w:b/>
                <w:color w:val="FFFFFF" w:themeColor="background1"/>
              </w:rPr>
            </w:pPr>
            <w:r>
              <w:rPr>
                <w:rFonts w:ascii="Arial" w:hAnsi="Arial" w:cs="Arial"/>
                <w:b/>
                <w:color w:val="FFFFFF" w:themeColor="background1"/>
              </w:rPr>
              <w:t>Intervenors</w:t>
            </w:r>
          </w:p>
        </w:tc>
        <w:tc>
          <w:tcPr>
            <w:tcW w:w="7650" w:type="dxa"/>
          </w:tcPr>
          <w:p w14:paraId="5930DE24" w14:textId="77777777" w:rsidR="00CD5878" w:rsidRPr="00B51D1F" w:rsidRDefault="00CD5878" w:rsidP="00935547">
            <w:pPr>
              <w:rPr>
                <w:rFonts w:ascii="Arial" w:hAnsi="Arial" w:cs="Arial"/>
              </w:rPr>
            </w:pPr>
          </w:p>
        </w:tc>
      </w:tr>
      <w:tr w:rsidR="00CD5878" w:rsidRPr="00B51D1F" w14:paraId="678F2FEF" w14:textId="77777777" w:rsidTr="00935547">
        <w:trPr>
          <w:trHeight w:val="263"/>
        </w:trPr>
        <w:tc>
          <w:tcPr>
            <w:tcW w:w="9895" w:type="dxa"/>
            <w:gridSpan w:val="2"/>
            <w:shd w:val="clear" w:color="auto" w:fill="1F4E79" w:themeFill="accent1" w:themeFillShade="80"/>
          </w:tcPr>
          <w:p w14:paraId="63F27569" w14:textId="77777777" w:rsidR="00CD5878" w:rsidRPr="00B51D1F" w:rsidRDefault="00CD5878" w:rsidP="00935547">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CD5878" w:rsidRPr="00B51D1F" w14:paraId="768F27ED" w14:textId="77777777" w:rsidTr="00935547">
        <w:trPr>
          <w:trHeight w:val="263"/>
        </w:trPr>
        <w:tc>
          <w:tcPr>
            <w:tcW w:w="9895" w:type="dxa"/>
            <w:gridSpan w:val="2"/>
            <w:shd w:val="clear" w:color="auto" w:fill="FFFFFF" w:themeFill="background1"/>
          </w:tcPr>
          <w:p w14:paraId="7B2EC826" w14:textId="77777777" w:rsidR="00F103A3" w:rsidRPr="00F103A3" w:rsidRDefault="00F103A3" w:rsidP="00F103A3">
            <w:pPr>
              <w:tabs>
                <w:tab w:val="left" w:pos="240"/>
                <w:tab w:val="center" w:pos="4839"/>
              </w:tabs>
              <w:rPr>
                <w:rFonts w:ascii="Arial" w:hAnsi="Arial" w:cs="Arial"/>
              </w:rPr>
            </w:pPr>
            <w:r w:rsidRPr="00F103A3">
              <w:rPr>
                <w:rFonts w:ascii="Arial" w:hAnsi="Arial" w:cs="Arial"/>
              </w:rPr>
              <w:t>In an order issued on December 18, the Maryland Public Service Commission authorized Columbia Gas an estimated $950,401 natural gas distribution base rate increase, versus the $3.8 million, increase supported by the company in Case No. 9609.</w:t>
            </w:r>
          </w:p>
          <w:p w14:paraId="4CC16253" w14:textId="77777777" w:rsidR="00F103A3" w:rsidRPr="00F103A3" w:rsidRDefault="00F103A3" w:rsidP="00F103A3">
            <w:pPr>
              <w:tabs>
                <w:tab w:val="left" w:pos="240"/>
                <w:tab w:val="center" w:pos="4839"/>
              </w:tabs>
              <w:rPr>
                <w:rFonts w:ascii="Arial" w:hAnsi="Arial" w:cs="Arial"/>
              </w:rPr>
            </w:pPr>
          </w:p>
          <w:p w14:paraId="31E5E232" w14:textId="77777777" w:rsidR="00CD5878" w:rsidRDefault="00F103A3" w:rsidP="00F103A3">
            <w:pPr>
              <w:tabs>
                <w:tab w:val="left" w:pos="240"/>
                <w:tab w:val="center" w:pos="4839"/>
              </w:tabs>
              <w:rPr>
                <w:rFonts w:ascii="Arial" w:hAnsi="Arial" w:cs="Arial"/>
              </w:rPr>
            </w:pPr>
            <w:r w:rsidRPr="00F103A3">
              <w:rPr>
                <w:rFonts w:ascii="Arial" w:hAnsi="Arial" w:cs="Arial"/>
              </w:rPr>
              <w:t xml:space="preserve">The order does not identify the final authorized revenue </w:t>
            </w:r>
            <w:proofErr w:type="gramStart"/>
            <w:r w:rsidRPr="00F103A3">
              <w:rPr>
                <w:rFonts w:ascii="Arial" w:hAnsi="Arial" w:cs="Arial"/>
              </w:rPr>
              <w:t>requirement, but</w:t>
            </w:r>
            <w:proofErr w:type="gramEnd"/>
            <w:r w:rsidRPr="00F103A3">
              <w:rPr>
                <w:rFonts w:ascii="Arial" w:hAnsi="Arial" w:cs="Arial"/>
              </w:rPr>
              <w:t xml:space="preserve"> approves certain adjustments to that specified in the proposed order issued by the Public Utility Law Judge on November 5. The company had sought a 10.95% ROE, while the PSC approved a 9.6% ROE; the lower recommended ROE accounts for about $1.5 million of the difference.</w:t>
            </w:r>
          </w:p>
          <w:p w14:paraId="5B235C0C" w14:textId="77777777" w:rsidR="00CD5878" w:rsidRPr="00B51D1F" w:rsidRDefault="00CD5878" w:rsidP="00935547">
            <w:pPr>
              <w:tabs>
                <w:tab w:val="left" w:pos="240"/>
                <w:tab w:val="center" w:pos="4839"/>
              </w:tabs>
              <w:rPr>
                <w:rFonts w:ascii="Arial" w:hAnsi="Arial" w:cs="Arial"/>
              </w:rPr>
            </w:pPr>
          </w:p>
        </w:tc>
      </w:tr>
    </w:tbl>
    <w:p w14:paraId="6CFB9AB1" w14:textId="77777777" w:rsidR="00CD5878" w:rsidRDefault="00CD5878" w:rsidP="009965F4">
      <w:pPr>
        <w:rPr>
          <w:rFonts w:ascii="Arial" w:hAnsi="Arial" w:cs="Arial"/>
          <w:i/>
          <w:iCs/>
          <w:color w:val="000000"/>
          <w:sz w:val="18"/>
          <w:szCs w:val="18"/>
        </w:rPr>
      </w:pPr>
    </w:p>
    <w:tbl>
      <w:tblPr>
        <w:tblStyle w:val="TableGrid"/>
        <w:tblW w:w="9895" w:type="dxa"/>
        <w:tblLook w:val="04A0" w:firstRow="1" w:lastRow="0" w:firstColumn="1" w:lastColumn="0" w:noHBand="0" w:noVBand="1"/>
      </w:tblPr>
      <w:tblGrid>
        <w:gridCol w:w="2245"/>
        <w:gridCol w:w="7650"/>
      </w:tblGrid>
      <w:tr w:rsidR="00CD5878" w:rsidRPr="000602A6" w14:paraId="0DAC497A" w14:textId="77777777" w:rsidTr="00935547">
        <w:trPr>
          <w:trHeight w:val="279"/>
        </w:trPr>
        <w:tc>
          <w:tcPr>
            <w:tcW w:w="9895" w:type="dxa"/>
            <w:gridSpan w:val="2"/>
            <w:shd w:val="clear" w:color="auto" w:fill="1F4E79" w:themeFill="accent1" w:themeFillShade="80"/>
          </w:tcPr>
          <w:p w14:paraId="0B6A7236" w14:textId="77777777" w:rsidR="00CD5878" w:rsidRPr="000602A6" w:rsidRDefault="00F8765A" w:rsidP="00935547">
            <w:pPr>
              <w:jc w:val="center"/>
              <w:rPr>
                <w:rFonts w:ascii="Arial" w:hAnsi="Arial" w:cs="Arial"/>
                <w:b/>
                <w:color w:val="FFFFFF" w:themeColor="background1"/>
              </w:rPr>
            </w:pPr>
            <w:r>
              <w:rPr>
                <w:rFonts w:ascii="Arial" w:hAnsi="Arial" w:cs="Arial"/>
                <w:b/>
                <w:color w:val="FFFFFF" w:themeColor="background1"/>
              </w:rPr>
              <w:t>December 19</w:t>
            </w:r>
            <w:r w:rsidR="00CD5878">
              <w:rPr>
                <w:rFonts w:ascii="Arial" w:hAnsi="Arial" w:cs="Arial"/>
                <w:b/>
                <w:color w:val="FFFFFF" w:themeColor="background1"/>
              </w:rPr>
              <w:t>, 2019</w:t>
            </w:r>
          </w:p>
        </w:tc>
      </w:tr>
      <w:tr w:rsidR="00CD5878" w:rsidRPr="000602A6" w14:paraId="07E23C3A" w14:textId="77777777" w:rsidTr="00935547">
        <w:trPr>
          <w:trHeight w:val="279"/>
        </w:trPr>
        <w:tc>
          <w:tcPr>
            <w:tcW w:w="2245" w:type="dxa"/>
            <w:shd w:val="clear" w:color="auto" w:fill="1F4E79" w:themeFill="accent1" w:themeFillShade="80"/>
          </w:tcPr>
          <w:p w14:paraId="258B8837"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14:paraId="74F576FA" w14:textId="77777777" w:rsidR="00CD5878" w:rsidRPr="000602A6" w:rsidRDefault="00F8765A" w:rsidP="00935547">
            <w:pPr>
              <w:rPr>
                <w:rFonts w:ascii="Arial" w:hAnsi="Arial" w:cs="Arial"/>
              </w:rPr>
            </w:pPr>
            <w:r>
              <w:rPr>
                <w:rFonts w:ascii="Arial" w:hAnsi="Arial" w:cs="Arial"/>
              </w:rPr>
              <w:t>San Diego Gas &amp; Electric</w:t>
            </w:r>
          </w:p>
        </w:tc>
      </w:tr>
      <w:tr w:rsidR="00CD5878" w:rsidRPr="00B51D1F" w14:paraId="684BE199" w14:textId="77777777" w:rsidTr="00935547">
        <w:trPr>
          <w:trHeight w:val="279"/>
        </w:trPr>
        <w:tc>
          <w:tcPr>
            <w:tcW w:w="2245" w:type="dxa"/>
            <w:shd w:val="clear" w:color="auto" w:fill="1F4E79" w:themeFill="accent1" w:themeFillShade="80"/>
          </w:tcPr>
          <w:p w14:paraId="0D2D23A9"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14:paraId="17BDD2C7" w14:textId="77777777" w:rsidR="00CD5878" w:rsidRPr="00B51D1F" w:rsidRDefault="00F8765A" w:rsidP="00935547">
            <w:pPr>
              <w:rPr>
                <w:rFonts w:ascii="Arial" w:hAnsi="Arial" w:cs="Arial"/>
              </w:rPr>
            </w:pPr>
            <w:r>
              <w:rPr>
                <w:rFonts w:ascii="Arial" w:hAnsi="Arial" w:cs="Arial"/>
              </w:rPr>
              <w:t xml:space="preserve">California </w:t>
            </w:r>
          </w:p>
        </w:tc>
      </w:tr>
      <w:tr w:rsidR="00CD5878" w:rsidRPr="00B51D1F" w14:paraId="264BC2B5" w14:textId="77777777" w:rsidTr="00935547">
        <w:trPr>
          <w:trHeight w:val="263"/>
        </w:trPr>
        <w:tc>
          <w:tcPr>
            <w:tcW w:w="2245" w:type="dxa"/>
            <w:shd w:val="clear" w:color="auto" w:fill="1F4E79" w:themeFill="accent1" w:themeFillShade="80"/>
          </w:tcPr>
          <w:p w14:paraId="421AAB75"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14:paraId="14309188" w14:textId="77777777" w:rsidR="00CD5878" w:rsidRPr="00B51D1F" w:rsidRDefault="009718A3" w:rsidP="00935547">
            <w:pPr>
              <w:rPr>
                <w:rFonts w:ascii="Arial" w:hAnsi="Arial" w:cs="Arial"/>
                <w:color w:val="0000FF"/>
                <w:u w:val="single"/>
              </w:rPr>
            </w:pPr>
            <w:hyperlink r:id="rId28" w:history="1">
              <w:r w:rsidRPr="009718A3">
                <w:rPr>
                  <w:rStyle w:val="Hyperlink"/>
                  <w:rFonts w:ascii="Arial" w:hAnsi="Arial" w:cs="Arial"/>
                </w:rPr>
                <w:t>Application 19-04-SDG&amp;E </w:t>
              </w:r>
            </w:hyperlink>
          </w:p>
        </w:tc>
      </w:tr>
      <w:tr w:rsidR="00CD5878" w:rsidRPr="006A20C9" w14:paraId="4EAE073E" w14:textId="77777777" w:rsidTr="00935547">
        <w:trPr>
          <w:trHeight w:val="279"/>
        </w:trPr>
        <w:tc>
          <w:tcPr>
            <w:tcW w:w="2245" w:type="dxa"/>
            <w:shd w:val="clear" w:color="auto" w:fill="1F4E79" w:themeFill="accent1" w:themeFillShade="80"/>
          </w:tcPr>
          <w:p w14:paraId="43796B5A"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14:paraId="24182E1E" w14:textId="77777777" w:rsidR="00CD5878" w:rsidRPr="006A20C9" w:rsidRDefault="00F8765A" w:rsidP="00935547">
            <w:pPr>
              <w:rPr>
                <w:rFonts w:ascii="Arial" w:hAnsi="Arial" w:cs="Arial"/>
              </w:rPr>
            </w:pPr>
            <w:r>
              <w:rPr>
                <w:rFonts w:ascii="Arial" w:hAnsi="Arial" w:cs="Arial"/>
              </w:rPr>
              <w:t>N/A</w:t>
            </w:r>
          </w:p>
        </w:tc>
      </w:tr>
      <w:tr w:rsidR="00CD5878" w:rsidRPr="00B51D1F" w14:paraId="130ED905" w14:textId="77777777" w:rsidTr="00935547">
        <w:trPr>
          <w:trHeight w:val="263"/>
        </w:trPr>
        <w:tc>
          <w:tcPr>
            <w:tcW w:w="2245" w:type="dxa"/>
            <w:shd w:val="clear" w:color="auto" w:fill="1F4E79" w:themeFill="accent1" w:themeFillShade="80"/>
          </w:tcPr>
          <w:p w14:paraId="0558C745"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14:paraId="39E14B34" w14:textId="77777777" w:rsidR="00CD5878" w:rsidRPr="00B51D1F" w:rsidRDefault="00F8765A" w:rsidP="00935547">
            <w:pPr>
              <w:rPr>
                <w:rFonts w:ascii="Arial" w:hAnsi="Arial" w:cs="Arial"/>
              </w:rPr>
            </w:pPr>
            <w:r>
              <w:rPr>
                <w:rFonts w:ascii="Arial" w:hAnsi="Arial" w:cs="Arial"/>
              </w:rPr>
              <w:t>10.2%</w:t>
            </w:r>
          </w:p>
        </w:tc>
      </w:tr>
      <w:tr w:rsidR="00CD5878" w:rsidRPr="00B51D1F" w14:paraId="76E1F941" w14:textId="77777777" w:rsidTr="00935547">
        <w:trPr>
          <w:trHeight w:val="263"/>
        </w:trPr>
        <w:tc>
          <w:tcPr>
            <w:tcW w:w="2245" w:type="dxa"/>
            <w:shd w:val="clear" w:color="auto" w:fill="1F4E79" w:themeFill="accent1" w:themeFillShade="80"/>
          </w:tcPr>
          <w:p w14:paraId="3BA8411A" w14:textId="77777777" w:rsidR="00CD5878" w:rsidRPr="00B51D1F" w:rsidRDefault="00CD5878" w:rsidP="00935547">
            <w:pPr>
              <w:rPr>
                <w:rFonts w:ascii="Arial" w:hAnsi="Arial" w:cs="Arial"/>
                <w:b/>
                <w:color w:val="FFFFFF" w:themeColor="background1"/>
              </w:rPr>
            </w:pPr>
            <w:r>
              <w:rPr>
                <w:rFonts w:ascii="Arial" w:hAnsi="Arial" w:cs="Arial"/>
                <w:b/>
                <w:color w:val="FFFFFF" w:themeColor="background1"/>
              </w:rPr>
              <w:t>Intervenors</w:t>
            </w:r>
          </w:p>
        </w:tc>
        <w:tc>
          <w:tcPr>
            <w:tcW w:w="7650" w:type="dxa"/>
          </w:tcPr>
          <w:p w14:paraId="40D64355" w14:textId="77777777" w:rsidR="00CD5878" w:rsidRPr="001940C6" w:rsidRDefault="009718A3" w:rsidP="00935547">
            <w:pPr>
              <w:rPr>
                <w:rFonts w:ascii="Arial" w:hAnsi="Arial" w:cs="Arial"/>
              </w:rPr>
            </w:pPr>
            <w:r w:rsidRPr="009718A3">
              <w:rPr>
                <w:rFonts w:ascii="Arial" w:hAnsi="Arial" w:cs="Arial"/>
              </w:rPr>
              <w:t>The Utility Reform Network</w:t>
            </w:r>
            <w:r w:rsidR="001940C6">
              <w:rPr>
                <w:rFonts w:ascii="Arial" w:hAnsi="Arial" w:cs="Arial"/>
              </w:rPr>
              <w:t xml:space="preserve">, </w:t>
            </w:r>
            <w:r w:rsidR="001940C6" w:rsidRPr="001940C6">
              <w:rPr>
                <w:rFonts w:ascii="Arial" w:hAnsi="Arial" w:cs="Arial"/>
              </w:rPr>
              <w:t>Environmental Defense Fund</w:t>
            </w:r>
            <w:r w:rsidR="001940C6">
              <w:rPr>
                <w:rFonts w:ascii="Arial" w:hAnsi="Arial" w:cs="Arial"/>
              </w:rPr>
              <w:t xml:space="preserve">, </w:t>
            </w:r>
            <w:r w:rsidR="001940C6" w:rsidRPr="001940C6">
              <w:rPr>
                <w:rFonts w:ascii="Arial" w:hAnsi="Arial" w:cs="Arial"/>
              </w:rPr>
              <w:t>The Indicated Shippers,</w:t>
            </w:r>
            <w:r w:rsidR="001940C6">
              <w:rPr>
                <w:rFonts w:ascii="Arial" w:hAnsi="Arial" w:cs="Arial"/>
              </w:rPr>
              <w:t xml:space="preserve"> </w:t>
            </w:r>
            <w:r w:rsidR="001940C6" w:rsidRPr="001940C6">
              <w:rPr>
                <w:rFonts w:ascii="Arial" w:hAnsi="Arial" w:cs="Arial"/>
              </w:rPr>
              <w:t>Energy Producers and Users Coalition</w:t>
            </w:r>
            <w:r w:rsidR="001940C6">
              <w:rPr>
                <w:rFonts w:ascii="Arial" w:hAnsi="Arial" w:cs="Arial"/>
              </w:rPr>
              <w:t xml:space="preserve">, </w:t>
            </w:r>
            <w:r w:rsidR="001940C6" w:rsidRPr="001940C6">
              <w:rPr>
                <w:rFonts w:ascii="Arial" w:hAnsi="Arial" w:cs="Arial"/>
              </w:rPr>
              <w:t>Utility Consumers' Action Network,</w:t>
            </w:r>
            <w:r w:rsidR="001940C6">
              <w:rPr>
                <w:rFonts w:ascii="Arial" w:hAnsi="Arial" w:cs="Arial"/>
              </w:rPr>
              <w:t xml:space="preserve"> </w:t>
            </w:r>
            <w:r w:rsidR="001940C6" w:rsidRPr="001940C6">
              <w:rPr>
                <w:rFonts w:ascii="Arial" w:hAnsi="Arial" w:cs="Arial"/>
              </w:rPr>
              <w:t>Protect Our Communities</w:t>
            </w:r>
            <w:r w:rsidR="001940C6">
              <w:rPr>
                <w:rFonts w:ascii="Arial" w:hAnsi="Arial" w:cs="Arial"/>
              </w:rPr>
              <w:t xml:space="preserve">, </w:t>
            </w:r>
            <w:r w:rsidR="001940C6" w:rsidRPr="001940C6">
              <w:rPr>
                <w:rFonts w:ascii="Arial" w:hAnsi="Arial" w:cs="Arial"/>
              </w:rPr>
              <w:t>Institutional Equity Investors</w:t>
            </w:r>
            <w:r w:rsidR="001940C6">
              <w:rPr>
                <w:rFonts w:ascii="Arial" w:hAnsi="Arial" w:cs="Arial"/>
              </w:rPr>
              <w:t xml:space="preserve">, County of San Diego, and </w:t>
            </w:r>
            <w:r w:rsidR="001940C6" w:rsidRPr="001940C6">
              <w:rPr>
                <w:rFonts w:ascii="Arial" w:hAnsi="Arial" w:cs="Arial"/>
              </w:rPr>
              <w:t>Federal Executive Agencies</w:t>
            </w:r>
          </w:p>
        </w:tc>
      </w:tr>
      <w:tr w:rsidR="00CD5878" w:rsidRPr="00B51D1F" w14:paraId="445CBD81" w14:textId="77777777" w:rsidTr="00935547">
        <w:trPr>
          <w:trHeight w:val="263"/>
        </w:trPr>
        <w:tc>
          <w:tcPr>
            <w:tcW w:w="9895" w:type="dxa"/>
            <w:gridSpan w:val="2"/>
            <w:shd w:val="clear" w:color="auto" w:fill="1F4E79" w:themeFill="accent1" w:themeFillShade="80"/>
          </w:tcPr>
          <w:p w14:paraId="56242999" w14:textId="77777777" w:rsidR="00CD5878" w:rsidRPr="00B51D1F" w:rsidRDefault="00CD5878" w:rsidP="00935547">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CD5878" w:rsidRPr="00B51D1F" w14:paraId="6AB5A8BB" w14:textId="77777777" w:rsidTr="00935547">
        <w:trPr>
          <w:trHeight w:val="263"/>
        </w:trPr>
        <w:tc>
          <w:tcPr>
            <w:tcW w:w="9895" w:type="dxa"/>
            <w:gridSpan w:val="2"/>
            <w:shd w:val="clear" w:color="auto" w:fill="FFFFFF" w:themeFill="background1"/>
          </w:tcPr>
          <w:p w14:paraId="34DEDF6C" w14:textId="77777777" w:rsidR="009718A3" w:rsidRPr="009718A3" w:rsidRDefault="009718A3" w:rsidP="009718A3">
            <w:pPr>
              <w:tabs>
                <w:tab w:val="left" w:pos="240"/>
                <w:tab w:val="center" w:pos="4839"/>
              </w:tabs>
              <w:rPr>
                <w:rFonts w:ascii="Arial" w:hAnsi="Arial" w:cs="Arial"/>
              </w:rPr>
            </w:pPr>
            <w:r w:rsidRPr="009718A3">
              <w:rPr>
                <w:rFonts w:ascii="Arial" w:hAnsi="Arial" w:cs="Arial"/>
              </w:rPr>
              <w:t>The California Public Utilities Commission voted Dec. 19 to approve 2020 ratemaking cost of capital, or COC, parameters for the state's largest energy utilities, keeping returns on equity unchanged rather than increasing them to account for wildfire equity risk premiums requested by some utilities.</w:t>
            </w:r>
          </w:p>
          <w:p w14:paraId="652DF8BD" w14:textId="77777777" w:rsidR="009718A3" w:rsidRPr="009718A3" w:rsidRDefault="009718A3" w:rsidP="009718A3">
            <w:pPr>
              <w:tabs>
                <w:tab w:val="left" w:pos="240"/>
                <w:tab w:val="center" w:pos="4839"/>
              </w:tabs>
              <w:rPr>
                <w:rFonts w:ascii="Arial" w:hAnsi="Arial" w:cs="Arial"/>
              </w:rPr>
            </w:pPr>
          </w:p>
          <w:p w14:paraId="2FAC67F1" w14:textId="77777777" w:rsidR="00CD5878" w:rsidRDefault="009718A3" w:rsidP="009718A3">
            <w:pPr>
              <w:tabs>
                <w:tab w:val="left" w:pos="240"/>
                <w:tab w:val="center" w:pos="4839"/>
              </w:tabs>
              <w:rPr>
                <w:rFonts w:ascii="Arial" w:hAnsi="Arial" w:cs="Arial"/>
              </w:rPr>
            </w:pPr>
            <w:r w:rsidRPr="009718A3">
              <w:rPr>
                <w:rFonts w:ascii="Arial" w:hAnsi="Arial" w:cs="Arial"/>
              </w:rPr>
              <w:t>The commission, or PUC, adopted the proposed decision of the administrative law judge. The judge concluded that keeping the ROE unchanged is "reasonably sufficient to assure confidence in the financial soundness of the utility while balancing the interests between shareholders and ratepayers." The judge's instant proposed order generally stated, "We find that the passage of AB 1054 and other investor supportive policies in California have mitigated wildfire exposure faced by California's utilities. Accordingly, the commission will not authorize a specific wildfire risk premium in the adopted ROE."</w:t>
            </w:r>
          </w:p>
          <w:p w14:paraId="041C5701" w14:textId="77777777" w:rsidR="009718A3" w:rsidRDefault="009718A3" w:rsidP="009718A3">
            <w:pPr>
              <w:tabs>
                <w:tab w:val="left" w:pos="240"/>
                <w:tab w:val="center" w:pos="4839"/>
              </w:tabs>
              <w:rPr>
                <w:rFonts w:ascii="Arial" w:hAnsi="Arial" w:cs="Arial"/>
              </w:rPr>
            </w:pPr>
          </w:p>
          <w:p w14:paraId="4E427BA8" w14:textId="6B31DCD1" w:rsidR="009718A3" w:rsidRDefault="009718A3" w:rsidP="009718A3">
            <w:pPr>
              <w:tabs>
                <w:tab w:val="left" w:pos="240"/>
                <w:tab w:val="center" w:pos="4839"/>
              </w:tabs>
              <w:rPr>
                <w:rFonts w:ascii="Arial" w:hAnsi="Arial" w:cs="Arial"/>
              </w:rPr>
            </w:pPr>
            <w:r w:rsidRPr="009718A3">
              <w:rPr>
                <w:rFonts w:ascii="Arial" w:hAnsi="Arial" w:cs="Arial"/>
              </w:rPr>
              <w:lastRenderedPageBreak/>
              <w:t xml:space="preserve">For San Diego Gas &amp; Electric Co. the PUC authorized a 10.2% return on equity (52% of capital) and 7.55% overall return for its electric and gas operations. SDG&amp;E initially requested a 14.3% return on equity (56% of capital) and a 10.03% overall return for its electric and gas operations. </w:t>
            </w:r>
            <w:r w:rsidR="00717086">
              <w:rPr>
                <w:rFonts w:ascii="Arial" w:hAnsi="Arial" w:cs="Arial"/>
              </w:rPr>
              <w:t>F</w:t>
            </w:r>
            <w:r w:rsidRPr="009718A3">
              <w:rPr>
                <w:rFonts w:ascii="Arial" w:hAnsi="Arial" w:cs="Arial"/>
              </w:rPr>
              <w:t>ollowing the law judge's proposed decision Nov. 25, SDG&amp;E further lowered its requested ROE to 10.4%. SDG&amp;E is currently authorized a 10.2% ROE (52% of capital) and a 7.55% overall return.</w:t>
            </w:r>
          </w:p>
          <w:p w14:paraId="678EC202" w14:textId="77777777" w:rsidR="00CD5878" w:rsidRPr="00B51D1F" w:rsidRDefault="00CD5878" w:rsidP="00935547">
            <w:pPr>
              <w:tabs>
                <w:tab w:val="left" w:pos="240"/>
                <w:tab w:val="center" w:pos="4839"/>
              </w:tabs>
              <w:rPr>
                <w:rFonts w:ascii="Arial" w:hAnsi="Arial" w:cs="Arial"/>
              </w:rPr>
            </w:pPr>
          </w:p>
        </w:tc>
      </w:tr>
    </w:tbl>
    <w:p w14:paraId="5616FE40" w14:textId="77777777" w:rsidR="00CD5878" w:rsidRDefault="00CD5878" w:rsidP="009965F4">
      <w:pPr>
        <w:rPr>
          <w:rFonts w:ascii="Arial" w:hAnsi="Arial" w:cs="Arial"/>
          <w:i/>
          <w:iCs/>
          <w:color w:val="000000"/>
          <w:sz w:val="18"/>
          <w:szCs w:val="18"/>
        </w:rPr>
      </w:pPr>
    </w:p>
    <w:tbl>
      <w:tblPr>
        <w:tblStyle w:val="TableGrid"/>
        <w:tblW w:w="9895" w:type="dxa"/>
        <w:tblLook w:val="04A0" w:firstRow="1" w:lastRow="0" w:firstColumn="1" w:lastColumn="0" w:noHBand="0" w:noVBand="1"/>
      </w:tblPr>
      <w:tblGrid>
        <w:gridCol w:w="2245"/>
        <w:gridCol w:w="7650"/>
      </w:tblGrid>
      <w:tr w:rsidR="00CD5878" w:rsidRPr="000602A6" w14:paraId="5C2BCC88" w14:textId="77777777" w:rsidTr="00935547">
        <w:trPr>
          <w:trHeight w:val="279"/>
        </w:trPr>
        <w:tc>
          <w:tcPr>
            <w:tcW w:w="9895" w:type="dxa"/>
            <w:gridSpan w:val="2"/>
            <w:shd w:val="clear" w:color="auto" w:fill="1F4E79" w:themeFill="accent1" w:themeFillShade="80"/>
          </w:tcPr>
          <w:p w14:paraId="4B24C1CE" w14:textId="77777777" w:rsidR="00CD5878" w:rsidRPr="000602A6" w:rsidRDefault="00652E09" w:rsidP="00935547">
            <w:pPr>
              <w:jc w:val="center"/>
              <w:rPr>
                <w:rFonts w:ascii="Arial" w:hAnsi="Arial" w:cs="Arial"/>
                <w:b/>
                <w:color w:val="FFFFFF" w:themeColor="background1"/>
              </w:rPr>
            </w:pPr>
            <w:r>
              <w:rPr>
                <w:rFonts w:ascii="Arial" w:hAnsi="Arial" w:cs="Arial"/>
                <w:b/>
                <w:color w:val="FFFFFF" w:themeColor="background1"/>
              </w:rPr>
              <w:t>December</w:t>
            </w:r>
            <w:r w:rsidR="00CD5878">
              <w:rPr>
                <w:rFonts w:ascii="Arial" w:hAnsi="Arial" w:cs="Arial"/>
                <w:b/>
                <w:color w:val="FFFFFF" w:themeColor="background1"/>
              </w:rPr>
              <w:t xml:space="preserve"> </w:t>
            </w:r>
            <w:r>
              <w:rPr>
                <w:rFonts w:ascii="Arial" w:hAnsi="Arial" w:cs="Arial"/>
                <w:b/>
                <w:color w:val="FFFFFF" w:themeColor="background1"/>
              </w:rPr>
              <w:t>19</w:t>
            </w:r>
            <w:r w:rsidR="00CD5878">
              <w:rPr>
                <w:rFonts w:ascii="Arial" w:hAnsi="Arial" w:cs="Arial"/>
                <w:b/>
                <w:color w:val="FFFFFF" w:themeColor="background1"/>
              </w:rPr>
              <w:t xml:space="preserve"> 2019</w:t>
            </w:r>
          </w:p>
        </w:tc>
      </w:tr>
      <w:tr w:rsidR="00CD5878" w:rsidRPr="000602A6" w14:paraId="0930573F" w14:textId="77777777" w:rsidTr="00935547">
        <w:trPr>
          <w:trHeight w:val="279"/>
        </w:trPr>
        <w:tc>
          <w:tcPr>
            <w:tcW w:w="2245" w:type="dxa"/>
            <w:shd w:val="clear" w:color="auto" w:fill="1F4E79" w:themeFill="accent1" w:themeFillShade="80"/>
          </w:tcPr>
          <w:p w14:paraId="17526F4D"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14:paraId="5084940B" w14:textId="77777777" w:rsidR="00CD5878" w:rsidRPr="000602A6" w:rsidRDefault="00652E09" w:rsidP="00935547">
            <w:pPr>
              <w:rPr>
                <w:rFonts w:ascii="Arial" w:hAnsi="Arial" w:cs="Arial"/>
              </w:rPr>
            </w:pPr>
            <w:r>
              <w:rPr>
                <w:rFonts w:ascii="Arial" w:hAnsi="Arial" w:cs="Arial"/>
              </w:rPr>
              <w:t>Southern California Gas Co.</w:t>
            </w:r>
          </w:p>
        </w:tc>
      </w:tr>
      <w:tr w:rsidR="00CD5878" w:rsidRPr="00B51D1F" w14:paraId="00B4E34D" w14:textId="77777777" w:rsidTr="00935547">
        <w:trPr>
          <w:trHeight w:val="279"/>
        </w:trPr>
        <w:tc>
          <w:tcPr>
            <w:tcW w:w="2245" w:type="dxa"/>
            <w:shd w:val="clear" w:color="auto" w:fill="1F4E79" w:themeFill="accent1" w:themeFillShade="80"/>
          </w:tcPr>
          <w:p w14:paraId="1E8FB8EC"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14:paraId="0AB5EF95" w14:textId="77777777" w:rsidR="00CD5878" w:rsidRPr="00B51D1F" w:rsidRDefault="00652E09" w:rsidP="00935547">
            <w:pPr>
              <w:rPr>
                <w:rFonts w:ascii="Arial" w:hAnsi="Arial" w:cs="Arial"/>
              </w:rPr>
            </w:pPr>
            <w:r>
              <w:rPr>
                <w:rFonts w:ascii="Arial" w:hAnsi="Arial" w:cs="Arial"/>
              </w:rPr>
              <w:t xml:space="preserve">California </w:t>
            </w:r>
          </w:p>
        </w:tc>
      </w:tr>
      <w:tr w:rsidR="00CD5878" w:rsidRPr="00B51D1F" w14:paraId="14D3FB9E" w14:textId="77777777" w:rsidTr="00935547">
        <w:trPr>
          <w:trHeight w:val="263"/>
        </w:trPr>
        <w:tc>
          <w:tcPr>
            <w:tcW w:w="2245" w:type="dxa"/>
            <w:shd w:val="clear" w:color="auto" w:fill="1F4E79" w:themeFill="accent1" w:themeFillShade="80"/>
          </w:tcPr>
          <w:p w14:paraId="3680AEFB"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14:paraId="01C59AE5" w14:textId="77777777" w:rsidR="00CD5878" w:rsidRPr="00B51D1F" w:rsidRDefault="001940C6" w:rsidP="00935547">
            <w:pPr>
              <w:rPr>
                <w:rFonts w:ascii="Arial" w:hAnsi="Arial" w:cs="Arial"/>
                <w:color w:val="0000FF"/>
                <w:u w:val="single"/>
              </w:rPr>
            </w:pPr>
            <w:hyperlink r:id="rId29" w:history="1">
              <w:r w:rsidR="009718A3" w:rsidRPr="001940C6">
                <w:rPr>
                  <w:rStyle w:val="Hyperlink"/>
                  <w:rFonts w:ascii="Arial" w:hAnsi="Arial" w:cs="Arial"/>
                </w:rPr>
                <w:t>Application 19-04-SCG</w:t>
              </w:r>
            </w:hyperlink>
          </w:p>
        </w:tc>
      </w:tr>
      <w:tr w:rsidR="00CD5878" w:rsidRPr="006A20C9" w14:paraId="0716CAA0" w14:textId="77777777" w:rsidTr="00935547">
        <w:trPr>
          <w:trHeight w:val="279"/>
        </w:trPr>
        <w:tc>
          <w:tcPr>
            <w:tcW w:w="2245" w:type="dxa"/>
            <w:shd w:val="clear" w:color="auto" w:fill="1F4E79" w:themeFill="accent1" w:themeFillShade="80"/>
          </w:tcPr>
          <w:p w14:paraId="23688743"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14:paraId="7C19DBEB" w14:textId="77777777" w:rsidR="00CD5878" w:rsidRPr="006A20C9" w:rsidRDefault="00652E09" w:rsidP="00935547">
            <w:pPr>
              <w:rPr>
                <w:rFonts w:ascii="Arial" w:hAnsi="Arial" w:cs="Arial"/>
              </w:rPr>
            </w:pPr>
            <w:r>
              <w:rPr>
                <w:rFonts w:ascii="Arial" w:hAnsi="Arial" w:cs="Arial"/>
              </w:rPr>
              <w:t>N/A</w:t>
            </w:r>
          </w:p>
        </w:tc>
      </w:tr>
      <w:tr w:rsidR="00CD5878" w:rsidRPr="00B51D1F" w14:paraId="744A494F" w14:textId="77777777" w:rsidTr="00935547">
        <w:trPr>
          <w:trHeight w:val="263"/>
        </w:trPr>
        <w:tc>
          <w:tcPr>
            <w:tcW w:w="2245" w:type="dxa"/>
            <w:shd w:val="clear" w:color="auto" w:fill="1F4E79" w:themeFill="accent1" w:themeFillShade="80"/>
          </w:tcPr>
          <w:p w14:paraId="1068002B"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14:paraId="00DB3343" w14:textId="77777777" w:rsidR="00CD5878" w:rsidRPr="00B51D1F" w:rsidRDefault="00652E09" w:rsidP="00935547">
            <w:pPr>
              <w:rPr>
                <w:rFonts w:ascii="Arial" w:hAnsi="Arial" w:cs="Arial"/>
              </w:rPr>
            </w:pPr>
            <w:r>
              <w:rPr>
                <w:rFonts w:ascii="Arial" w:hAnsi="Arial" w:cs="Arial"/>
              </w:rPr>
              <w:t>10.05%</w:t>
            </w:r>
          </w:p>
        </w:tc>
      </w:tr>
      <w:tr w:rsidR="00CD5878" w:rsidRPr="00B51D1F" w14:paraId="6D4453EE" w14:textId="77777777" w:rsidTr="00935547">
        <w:trPr>
          <w:trHeight w:val="263"/>
        </w:trPr>
        <w:tc>
          <w:tcPr>
            <w:tcW w:w="2245" w:type="dxa"/>
            <w:shd w:val="clear" w:color="auto" w:fill="1F4E79" w:themeFill="accent1" w:themeFillShade="80"/>
          </w:tcPr>
          <w:p w14:paraId="60EB4FD6" w14:textId="77777777" w:rsidR="00CD5878" w:rsidRPr="00B51D1F" w:rsidRDefault="00CD5878" w:rsidP="00935547">
            <w:pPr>
              <w:rPr>
                <w:rFonts w:ascii="Arial" w:hAnsi="Arial" w:cs="Arial"/>
                <w:b/>
                <w:color w:val="FFFFFF" w:themeColor="background1"/>
              </w:rPr>
            </w:pPr>
            <w:r>
              <w:rPr>
                <w:rFonts w:ascii="Arial" w:hAnsi="Arial" w:cs="Arial"/>
                <w:b/>
                <w:color w:val="FFFFFF" w:themeColor="background1"/>
              </w:rPr>
              <w:t>Intervenors</w:t>
            </w:r>
          </w:p>
        </w:tc>
        <w:tc>
          <w:tcPr>
            <w:tcW w:w="7650" w:type="dxa"/>
          </w:tcPr>
          <w:p w14:paraId="3E62BEF3" w14:textId="77777777" w:rsidR="00CD5878" w:rsidRPr="00B51D1F" w:rsidRDefault="001940C6" w:rsidP="00935547">
            <w:pPr>
              <w:rPr>
                <w:rFonts w:ascii="Arial" w:hAnsi="Arial" w:cs="Arial"/>
              </w:rPr>
            </w:pPr>
            <w:r w:rsidRPr="009718A3">
              <w:rPr>
                <w:rFonts w:ascii="Arial" w:hAnsi="Arial" w:cs="Arial"/>
              </w:rPr>
              <w:t>The Utility Reform Network</w:t>
            </w:r>
            <w:r>
              <w:rPr>
                <w:rFonts w:ascii="Arial" w:hAnsi="Arial" w:cs="Arial"/>
              </w:rPr>
              <w:t xml:space="preserve">, </w:t>
            </w:r>
            <w:r w:rsidRPr="001940C6">
              <w:rPr>
                <w:rFonts w:ascii="Arial" w:hAnsi="Arial" w:cs="Arial"/>
              </w:rPr>
              <w:t>Environmental Defense Fund</w:t>
            </w:r>
            <w:r>
              <w:rPr>
                <w:rFonts w:ascii="Arial" w:hAnsi="Arial" w:cs="Arial"/>
              </w:rPr>
              <w:t xml:space="preserve">, </w:t>
            </w:r>
            <w:r w:rsidRPr="001940C6">
              <w:rPr>
                <w:rFonts w:ascii="Arial" w:hAnsi="Arial" w:cs="Arial"/>
              </w:rPr>
              <w:t>The Indicated Shippers,</w:t>
            </w:r>
            <w:r>
              <w:rPr>
                <w:rFonts w:ascii="Arial" w:hAnsi="Arial" w:cs="Arial"/>
              </w:rPr>
              <w:t xml:space="preserve"> </w:t>
            </w:r>
            <w:r w:rsidRPr="001940C6">
              <w:rPr>
                <w:rFonts w:ascii="Arial" w:hAnsi="Arial" w:cs="Arial"/>
              </w:rPr>
              <w:t>Energy Producers and Users Coalition</w:t>
            </w:r>
            <w:r>
              <w:rPr>
                <w:rFonts w:ascii="Arial" w:hAnsi="Arial" w:cs="Arial"/>
              </w:rPr>
              <w:t xml:space="preserve">, </w:t>
            </w:r>
            <w:r w:rsidRPr="001940C6">
              <w:rPr>
                <w:rFonts w:ascii="Arial" w:hAnsi="Arial" w:cs="Arial"/>
              </w:rPr>
              <w:t>Utility Consumers' Action Network,</w:t>
            </w:r>
            <w:r>
              <w:rPr>
                <w:rFonts w:ascii="Arial" w:hAnsi="Arial" w:cs="Arial"/>
              </w:rPr>
              <w:t xml:space="preserve"> </w:t>
            </w:r>
            <w:r w:rsidRPr="001940C6">
              <w:rPr>
                <w:rFonts w:ascii="Arial" w:hAnsi="Arial" w:cs="Arial"/>
              </w:rPr>
              <w:t>Protect Our Communities</w:t>
            </w:r>
            <w:r>
              <w:rPr>
                <w:rFonts w:ascii="Arial" w:hAnsi="Arial" w:cs="Arial"/>
              </w:rPr>
              <w:t xml:space="preserve">, </w:t>
            </w:r>
            <w:r w:rsidRPr="001940C6">
              <w:rPr>
                <w:rFonts w:ascii="Arial" w:hAnsi="Arial" w:cs="Arial"/>
              </w:rPr>
              <w:t>Institutional Equity Investors</w:t>
            </w:r>
            <w:r>
              <w:rPr>
                <w:rFonts w:ascii="Arial" w:hAnsi="Arial" w:cs="Arial"/>
              </w:rPr>
              <w:t xml:space="preserve">, County of San Diego, and </w:t>
            </w:r>
            <w:r w:rsidRPr="001940C6">
              <w:rPr>
                <w:rFonts w:ascii="Arial" w:hAnsi="Arial" w:cs="Arial"/>
              </w:rPr>
              <w:t>Federal Executive Agencies</w:t>
            </w:r>
          </w:p>
        </w:tc>
      </w:tr>
      <w:tr w:rsidR="00CD5878" w:rsidRPr="00B51D1F" w14:paraId="5B95142E" w14:textId="77777777" w:rsidTr="00935547">
        <w:trPr>
          <w:trHeight w:val="263"/>
        </w:trPr>
        <w:tc>
          <w:tcPr>
            <w:tcW w:w="9895" w:type="dxa"/>
            <w:gridSpan w:val="2"/>
            <w:shd w:val="clear" w:color="auto" w:fill="1F4E79" w:themeFill="accent1" w:themeFillShade="80"/>
          </w:tcPr>
          <w:p w14:paraId="7154C1A0" w14:textId="77777777" w:rsidR="00CD5878" w:rsidRPr="00B51D1F" w:rsidRDefault="00CD5878" w:rsidP="00935547">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CD5878" w:rsidRPr="00B51D1F" w14:paraId="207C53C8" w14:textId="77777777" w:rsidTr="00935547">
        <w:trPr>
          <w:trHeight w:val="263"/>
        </w:trPr>
        <w:tc>
          <w:tcPr>
            <w:tcW w:w="9895" w:type="dxa"/>
            <w:gridSpan w:val="2"/>
            <w:shd w:val="clear" w:color="auto" w:fill="FFFFFF" w:themeFill="background1"/>
          </w:tcPr>
          <w:p w14:paraId="013408B3" w14:textId="77777777" w:rsidR="009718A3" w:rsidRPr="009718A3" w:rsidRDefault="009718A3" w:rsidP="009718A3">
            <w:pPr>
              <w:tabs>
                <w:tab w:val="left" w:pos="240"/>
                <w:tab w:val="center" w:pos="4839"/>
              </w:tabs>
              <w:rPr>
                <w:rFonts w:ascii="Arial" w:hAnsi="Arial" w:cs="Arial"/>
              </w:rPr>
            </w:pPr>
            <w:r w:rsidRPr="009718A3">
              <w:rPr>
                <w:rFonts w:ascii="Arial" w:hAnsi="Arial" w:cs="Arial"/>
              </w:rPr>
              <w:t>The California Public Utilities Commission voted Dec. 19 to approve 2020 ratemaking cost of capital, or COC, parameters for the state's largest energy utilities, keeping returns on equity unchanged rather than increasing them to account for wildfire equity risk premiums requested by some utilities.</w:t>
            </w:r>
          </w:p>
          <w:p w14:paraId="443E624A" w14:textId="77777777" w:rsidR="009718A3" w:rsidRPr="009718A3" w:rsidRDefault="009718A3" w:rsidP="009718A3">
            <w:pPr>
              <w:tabs>
                <w:tab w:val="left" w:pos="240"/>
                <w:tab w:val="center" w:pos="4839"/>
              </w:tabs>
              <w:rPr>
                <w:rFonts w:ascii="Arial" w:hAnsi="Arial" w:cs="Arial"/>
              </w:rPr>
            </w:pPr>
          </w:p>
          <w:p w14:paraId="284D919E" w14:textId="77777777" w:rsidR="009718A3" w:rsidRDefault="009718A3" w:rsidP="009718A3">
            <w:pPr>
              <w:tabs>
                <w:tab w:val="left" w:pos="240"/>
                <w:tab w:val="center" w:pos="4839"/>
              </w:tabs>
              <w:rPr>
                <w:rFonts w:ascii="Arial" w:hAnsi="Arial" w:cs="Arial"/>
              </w:rPr>
            </w:pPr>
            <w:r w:rsidRPr="009718A3">
              <w:rPr>
                <w:rFonts w:ascii="Arial" w:hAnsi="Arial" w:cs="Arial"/>
              </w:rPr>
              <w:t>The commission, or PUC, adopted the proposed decision of the administrative law judge. The judge concluded that keeping the ROE unchanged is "reasonably sufficient to assure confidence in the financial soundness of the utility while balancing the interests between shareholders and ratepayers." The judge's instant proposed order generally stated, "We find that the passage of AB 1054 and other investor supportive policies in California have mitigated wildfire exposure faced by California's utilities. Accordingly, the commission will not authorize a specific wildfire risk premium in the adopted ROE."</w:t>
            </w:r>
          </w:p>
          <w:p w14:paraId="42D82C72" w14:textId="77777777" w:rsidR="00CD5878" w:rsidRDefault="00CD5878" w:rsidP="00935547">
            <w:pPr>
              <w:tabs>
                <w:tab w:val="left" w:pos="240"/>
                <w:tab w:val="center" w:pos="4839"/>
              </w:tabs>
              <w:rPr>
                <w:rFonts w:ascii="Arial" w:hAnsi="Arial" w:cs="Arial"/>
              </w:rPr>
            </w:pPr>
          </w:p>
          <w:p w14:paraId="7A2DE747" w14:textId="5465AEE6" w:rsidR="00CD5878" w:rsidRDefault="009718A3" w:rsidP="00935547">
            <w:pPr>
              <w:tabs>
                <w:tab w:val="left" w:pos="240"/>
                <w:tab w:val="center" w:pos="4839"/>
              </w:tabs>
              <w:rPr>
                <w:rFonts w:ascii="Arial" w:hAnsi="Arial" w:cs="Arial"/>
              </w:rPr>
            </w:pPr>
            <w:r w:rsidRPr="009718A3">
              <w:rPr>
                <w:rFonts w:ascii="Arial" w:hAnsi="Arial" w:cs="Arial"/>
              </w:rPr>
              <w:t>For Southern California Gas Co., the PUC approved a 10.05% return on equity (52% of capital) and a 7.30% overall return. In its COC application, SCG requested an increase in gas distribution rates, premised upon a 10.7% return on equity (56% of capital) and 7.85% overall return. SCG is currently authorized a 10.05% return on equity (52% of capital) and a 7.34% overall return.</w:t>
            </w:r>
          </w:p>
          <w:p w14:paraId="4E0E9524" w14:textId="77777777" w:rsidR="00CD5878" w:rsidRPr="00B51D1F" w:rsidRDefault="00CD5878" w:rsidP="00935547">
            <w:pPr>
              <w:tabs>
                <w:tab w:val="left" w:pos="240"/>
                <w:tab w:val="center" w:pos="4839"/>
              </w:tabs>
              <w:rPr>
                <w:rFonts w:ascii="Arial" w:hAnsi="Arial" w:cs="Arial"/>
              </w:rPr>
            </w:pPr>
          </w:p>
        </w:tc>
      </w:tr>
    </w:tbl>
    <w:p w14:paraId="5CA6E0FE" w14:textId="77777777" w:rsidR="00CD5878" w:rsidRDefault="00CD5878" w:rsidP="009965F4">
      <w:pPr>
        <w:rPr>
          <w:rFonts w:ascii="Arial" w:hAnsi="Arial" w:cs="Arial"/>
          <w:i/>
          <w:iCs/>
          <w:color w:val="000000"/>
          <w:sz w:val="18"/>
          <w:szCs w:val="18"/>
        </w:rPr>
      </w:pPr>
    </w:p>
    <w:tbl>
      <w:tblPr>
        <w:tblStyle w:val="TableGrid"/>
        <w:tblW w:w="9895" w:type="dxa"/>
        <w:tblLook w:val="04A0" w:firstRow="1" w:lastRow="0" w:firstColumn="1" w:lastColumn="0" w:noHBand="0" w:noVBand="1"/>
      </w:tblPr>
      <w:tblGrid>
        <w:gridCol w:w="2245"/>
        <w:gridCol w:w="7650"/>
      </w:tblGrid>
      <w:tr w:rsidR="00CD5878" w:rsidRPr="000602A6" w14:paraId="1FF0F258" w14:textId="77777777" w:rsidTr="00935547">
        <w:trPr>
          <w:trHeight w:val="279"/>
        </w:trPr>
        <w:tc>
          <w:tcPr>
            <w:tcW w:w="9895" w:type="dxa"/>
            <w:gridSpan w:val="2"/>
            <w:shd w:val="clear" w:color="auto" w:fill="1F4E79" w:themeFill="accent1" w:themeFillShade="80"/>
          </w:tcPr>
          <w:p w14:paraId="0912591A" w14:textId="77777777" w:rsidR="00CD5878" w:rsidRPr="000602A6" w:rsidRDefault="00652E09" w:rsidP="00935547">
            <w:pPr>
              <w:jc w:val="center"/>
              <w:rPr>
                <w:rFonts w:ascii="Arial" w:hAnsi="Arial" w:cs="Arial"/>
                <w:b/>
                <w:color w:val="FFFFFF" w:themeColor="background1"/>
              </w:rPr>
            </w:pPr>
            <w:r>
              <w:rPr>
                <w:rFonts w:ascii="Arial" w:hAnsi="Arial" w:cs="Arial"/>
                <w:b/>
                <w:color w:val="FFFFFF" w:themeColor="background1"/>
              </w:rPr>
              <w:t>December 19</w:t>
            </w:r>
            <w:r w:rsidR="00CD5878">
              <w:rPr>
                <w:rFonts w:ascii="Arial" w:hAnsi="Arial" w:cs="Arial"/>
                <w:b/>
                <w:color w:val="FFFFFF" w:themeColor="background1"/>
              </w:rPr>
              <w:t>, 2019</w:t>
            </w:r>
          </w:p>
        </w:tc>
      </w:tr>
      <w:tr w:rsidR="00CD5878" w:rsidRPr="000602A6" w14:paraId="1BDCBD2D" w14:textId="77777777" w:rsidTr="00935547">
        <w:trPr>
          <w:trHeight w:val="279"/>
        </w:trPr>
        <w:tc>
          <w:tcPr>
            <w:tcW w:w="2245" w:type="dxa"/>
            <w:shd w:val="clear" w:color="auto" w:fill="1F4E79" w:themeFill="accent1" w:themeFillShade="80"/>
          </w:tcPr>
          <w:p w14:paraId="798DE0C6"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14:paraId="52F4FEB8" w14:textId="77777777" w:rsidR="00CD5878" w:rsidRPr="000602A6" w:rsidRDefault="00652E09" w:rsidP="00935547">
            <w:pPr>
              <w:rPr>
                <w:rFonts w:ascii="Arial" w:hAnsi="Arial" w:cs="Arial"/>
              </w:rPr>
            </w:pPr>
            <w:r>
              <w:rPr>
                <w:rFonts w:ascii="Arial" w:hAnsi="Arial" w:cs="Arial"/>
              </w:rPr>
              <w:t>Atlanta Gas Light Co.</w:t>
            </w:r>
          </w:p>
        </w:tc>
      </w:tr>
      <w:tr w:rsidR="00CD5878" w:rsidRPr="00B51D1F" w14:paraId="150E4D7C" w14:textId="77777777" w:rsidTr="00935547">
        <w:trPr>
          <w:trHeight w:val="279"/>
        </w:trPr>
        <w:tc>
          <w:tcPr>
            <w:tcW w:w="2245" w:type="dxa"/>
            <w:shd w:val="clear" w:color="auto" w:fill="1F4E79" w:themeFill="accent1" w:themeFillShade="80"/>
          </w:tcPr>
          <w:p w14:paraId="7E522323"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14:paraId="301AF3F8" w14:textId="77777777" w:rsidR="00CD5878" w:rsidRPr="00B51D1F" w:rsidRDefault="00652E09" w:rsidP="00935547">
            <w:pPr>
              <w:rPr>
                <w:rFonts w:ascii="Arial" w:hAnsi="Arial" w:cs="Arial"/>
              </w:rPr>
            </w:pPr>
            <w:r>
              <w:rPr>
                <w:rFonts w:ascii="Arial" w:hAnsi="Arial" w:cs="Arial"/>
              </w:rPr>
              <w:t>Georgia</w:t>
            </w:r>
          </w:p>
        </w:tc>
      </w:tr>
      <w:tr w:rsidR="00CD5878" w:rsidRPr="00B51D1F" w14:paraId="511F1129" w14:textId="77777777" w:rsidTr="00935547">
        <w:trPr>
          <w:trHeight w:val="263"/>
        </w:trPr>
        <w:tc>
          <w:tcPr>
            <w:tcW w:w="2245" w:type="dxa"/>
            <w:shd w:val="clear" w:color="auto" w:fill="1F4E79" w:themeFill="accent1" w:themeFillShade="80"/>
          </w:tcPr>
          <w:p w14:paraId="60BF4019"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14:paraId="240AE5D0" w14:textId="77777777" w:rsidR="00CD5878" w:rsidRPr="00B51D1F" w:rsidRDefault="00DC2978" w:rsidP="00935547">
            <w:pPr>
              <w:rPr>
                <w:rFonts w:ascii="Arial" w:hAnsi="Arial" w:cs="Arial"/>
                <w:color w:val="0000FF"/>
                <w:u w:val="single"/>
              </w:rPr>
            </w:pPr>
            <w:hyperlink r:id="rId30" w:history="1">
              <w:r w:rsidRPr="00DC2978">
                <w:rPr>
                  <w:rStyle w:val="Hyperlink"/>
                  <w:rFonts w:ascii="Arial" w:hAnsi="Arial" w:cs="Arial"/>
                </w:rPr>
                <w:t>42315</w:t>
              </w:r>
            </w:hyperlink>
          </w:p>
        </w:tc>
      </w:tr>
      <w:tr w:rsidR="00CD5878" w:rsidRPr="006A20C9" w14:paraId="12070ED7" w14:textId="77777777" w:rsidTr="00935547">
        <w:trPr>
          <w:trHeight w:val="279"/>
        </w:trPr>
        <w:tc>
          <w:tcPr>
            <w:tcW w:w="2245" w:type="dxa"/>
            <w:shd w:val="clear" w:color="auto" w:fill="1F4E79" w:themeFill="accent1" w:themeFillShade="80"/>
          </w:tcPr>
          <w:p w14:paraId="2FE23F5E"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14:paraId="15A5BB17" w14:textId="77777777" w:rsidR="00CD5878" w:rsidRPr="006A20C9" w:rsidRDefault="00CD5878" w:rsidP="00935547">
            <w:pPr>
              <w:rPr>
                <w:rFonts w:ascii="Arial" w:hAnsi="Arial" w:cs="Arial"/>
              </w:rPr>
            </w:pPr>
            <w:r w:rsidRPr="006A20C9">
              <w:rPr>
                <w:rFonts w:ascii="Arial" w:hAnsi="Arial" w:cs="Arial"/>
              </w:rPr>
              <w:t>$</w:t>
            </w:r>
            <w:r w:rsidR="00652E09">
              <w:rPr>
                <w:rFonts w:ascii="Arial" w:hAnsi="Arial" w:cs="Arial"/>
              </w:rPr>
              <w:t>65,300,000</w:t>
            </w:r>
          </w:p>
        </w:tc>
      </w:tr>
      <w:tr w:rsidR="00CD5878" w:rsidRPr="00B51D1F" w14:paraId="584CFB8A" w14:textId="77777777" w:rsidTr="00935547">
        <w:trPr>
          <w:trHeight w:val="263"/>
        </w:trPr>
        <w:tc>
          <w:tcPr>
            <w:tcW w:w="2245" w:type="dxa"/>
            <w:shd w:val="clear" w:color="auto" w:fill="1F4E79" w:themeFill="accent1" w:themeFillShade="80"/>
          </w:tcPr>
          <w:p w14:paraId="33D10B66"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14:paraId="75AF11DB" w14:textId="77777777" w:rsidR="00CD5878" w:rsidRPr="00B51D1F" w:rsidRDefault="00652E09" w:rsidP="00935547">
            <w:pPr>
              <w:rPr>
                <w:rFonts w:ascii="Arial" w:hAnsi="Arial" w:cs="Arial"/>
              </w:rPr>
            </w:pPr>
            <w:r>
              <w:rPr>
                <w:rFonts w:ascii="Arial" w:hAnsi="Arial" w:cs="Arial"/>
              </w:rPr>
              <w:t>10.25</w:t>
            </w:r>
            <w:r w:rsidR="00CD5878">
              <w:rPr>
                <w:rFonts w:ascii="Arial" w:hAnsi="Arial" w:cs="Arial"/>
              </w:rPr>
              <w:t>%</w:t>
            </w:r>
          </w:p>
        </w:tc>
      </w:tr>
      <w:tr w:rsidR="00CD5878" w:rsidRPr="00B51D1F" w14:paraId="479E14B1" w14:textId="77777777" w:rsidTr="00935547">
        <w:trPr>
          <w:trHeight w:val="263"/>
        </w:trPr>
        <w:tc>
          <w:tcPr>
            <w:tcW w:w="2245" w:type="dxa"/>
            <w:shd w:val="clear" w:color="auto" w:fill="1F4E79" w:themeFill="accent1" w:themeFillShade="80"/>
          </w:tcPr>
          <w:p w14:paraId="1C5AB613" w14:textId="77777777" w:rsidR="00CD5878" w:rsidRPr="00B51D1F" w:rsidRDefault="00CD5878" w:rsidP="00935547">
            <w:pPr>
              <w:rPr>
                <w:rFonts w:ascii="Arial" w:hAnsi="Arial" w:cs="Arial"/>
                <w:b/>
                <w:color w:val="FFFFFF" w:themeColor="background1"/>
              </w:rPr>
            </w:pPr>
            <w:r>
              <w:rPr>
                <w:rFonts w:ascii="Arial" w:hAnsi="Arial" w:cs="Arial"/>
                <w:b/>
                <w:color w:val="FFFFFF" w:themeColor="background1"/>
              </w:rPr>
              <w:lastRenderedPageBreak/>
              <w:t>Intervenors</w:t>
            </w:r>
          </w:p>
        </w:tc>
        <w:tc>
          <w:tcPr>
            <w:tcW w:w="7650" w:type="dxa"/>
          </w:tcPr>
          <w:p w14:paraId="5F07C1AE" w14:textId="77777777" w:rsidR="00DC2978" w:rsidRPr="00B51D1F" w:rsidRDefault="00DC2978" w:rsidP="00935547">
            <w:pPr>
              <w:rPr>
                <w:rFonts w:ascii="Arial" w:hAnsi="Arial" w:cs="Arial"/>
              </w:rPr>
            </w:pPr>
            <w:r>
              <w:rPr>
                <w:rFonts w:ascii="Arial" w:hAnsi="Arial" w:cs="Arial"/>
              </w:rPr>
              <w:t xml:space="preserve">IBEW Local 1997, International Paper Co., </w:t>
            </w:r>
            <w:proofErr w:type="spellStart"/>
            <w:r>
              <w:rPr>
                <w:rFonts w:ascii="Arial" w:hAnsi="Arial" w:cs="Arial"/>
              </w:rPr>
              <w:t>SouthStar</w:t>
            </w:r>
            <w:proofErr w:type="spellEnd"/>
            <w:r>
              <w:rPr>
                <w:rFonts w:ascii="Arial" w:hAnsi="Arial" w:cs="Arial"/>
              </w:rPr>
              <w:t xml:space="preserve"> Energy Services, Walton Energy, Georgia Watch, SCANA Energy Marketing, Gas South, Resource Supply Management, </w:t>
            </w:r>
            <w:proofErr w:type="spellStart"/>
            <w:r>
              <w:rPr>
                <w:rFonts w:ascii="Arial" w:hAnsi="Arial" w:cs="Arial"/>
              </w:rPr>
              <w:t>Texican</w:t>
            </w:r>
            <w:proofErr w:type="spellEnd"/>
            <w:r>
              <w:rPr>
                <w:rFonts w:ascii="Arial" w:hAnsi="Arial" w:cs="Arial"/>
              </w:rPr>
              <w:t xml:space="preserve"> Industrial Energy Marketing, and Fireside Natural Gas</w:t>
            </w:r>
          </w:p>
        </w:tc>
      </w:tr>
      <w:tr w:rsidR="00CD5878" w:rsidRPr="00B51D1F" w14:paraId="2A17C68F" w14:textId="77777777" w:rsidTr="00935547">
        <w:trPr>
          <w:trHeight w:val="263"/>
        </w:trPr>
        <w:tc>
          <w:tcPr>
            <w:tcW w:w="9895" w:type="dxa"/>
            <w:gridSpan w:val="2"/>
            <w:shd w:val="clear" w:color="auto" w:fill="1F4E79" w:themeFill="accent1" w:themeFillShade="80"/>
          </w:tcPr>
          <w:p w14:paraId="168C9408" w14:textId="77777777" w:rsidR="00CD5878" w:rsidRPr="00B51D1F" w:rsidRDefault="00CD5878" w:rsidP="00935547">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CD5878" w:rsidRPr="00B51D1F" w14:paraId="5FC219A3" w14:textId="77777777" w:rsidTr="00935547">
        <w:trPr>
          <w:trHeight w:val="263"/>
        </w:trPr>
        <w:tc>
          <w:tcPr>
            <w:tcW w:w="9895" w:type="dxa"/>
            <w:gridSpan w:val="2"/>
            <w:shd w:val="clear" w:color="auto" w:fill="FFFFFF" w:themeFill="background1"/>
          </w:tcPr>
          <w:p w14:paraId="6D2912A5" w14:textId="77777777" w:rsidR="003C0C23" w:rsidRPr="003C0C23" w:rsidRDefault="003C0C23" w:rsidP="003C0C23">
            <w:pPr>
              <w:tabs>
                <w:tab w:val="left" w:pos="240"/>
                <w:tab w:val="center" w:pos="4839"/>
              </w:tabs>
              <w:rPr>
                <w:rFonts w:ascii="Arial" w:hAnsi="Arial" w:cs="Arial"/>
              </w:rPr>
            </w:pPr>
            <w:r w:rsidRPr="003C0C23">
              <w:rPr>
                <w:rFonts w:ascii="Arial" w:hAnsi="Arial" w:cs="Arial"/>
              </w:rPr>
              <w:t>Georgia regulators have authorized a gas rate increase for Southern Co. subsidiary Atlanta Gas Light Co. alongside issuing new requirements for the natural gas utility to improve is customer service and safety measurements.</w:t>
            </w:r>
          </w:p>
          <w:p w14:paraId="5BBD34B5" w14:textId="77777777" w:rsidR="003C0C23" w:rsidRPr="003C0C23" w:rsidRDefault="003C0C23" w:rsidP="003C0C23">
            <w:pPr>
              <w:tabs>
                <w:tab w:val="left" w:pos="240"/>
                <w:tab w:val="center" w:pos="4839"/>
              </w:tabs>
              <w:rPr>
                <w:rFonts w:ascii="Arial" w:hAnsi="Arial" w:cs="Arial"/>
              </w:rPr>
            </w:pPr>
          </w:p>
          <w:p w14:paraId="049BEBD5" w14:textId="77777777" w:rsidR="00CD5878" w:rsidRDefault="003C0C23" w:rsidP="003C0C23">
            <w:pPr>
              <w:tabs>
                <w:tab w:val="left" w:pos="240"/>
                <w:tab w:val="center" w:pos="4839"/>
              </w:tabs>
              <w:rPr>
                <w:rFonts w:ascii="Arial" w:hAnsi="Arial" w:cs="Arial"/>
              </w:rPr>
            </w:pPr>
            <w:r w:rsidRPr="003C0C23">
              <w:rPr>
                <w:rFonts w:ascii="Arial" w:hAnsi="Arial" w:cs="Arial"/>
              </w:rPr>
              <w:t>The Georgia PSC on December 19 voted unanimously to approve a motion put forward by Commissioner Chuck Eaton that authorizes AGL a $65.3 million rate increase based on a 10.25% return on equity (56% of capital). Additionally, AGL's earnings will be evaluated against a ROE range of 10.05% to 10.45%, with the disposition of any earnings above 10.45% to be determined by the commission.</w:t>
            </w:r>
          </w:p>
          <w:p w14:paraId="6CB30951" w14:textId="77777777" w:rsidR="003C0C23" w:rsidRDefault="003C0C23" w:rsidP="003C0C23">
            <w:pPr>
              <w:tabs>
                <w:tab w:val="left" w:pos="240"/>
                <w:tab w:val="center" w:pos="4839"/>
              </w:tabs>
              <w:rPr>
                <w:rFonts w:ascii="Arial" w:hAnsi="Arial" w:cs="Arial"/>
              </w:rPr>
            </w:pPr>
          </w:p>
          <w:p w14:paraId="2B795872" w14:textId="77777777" w:rsidR="003C0C23" w:rsidRDefault="003C0C23" w:rsidP="003C0C23">
            <w:pPr>
              <w:tabs>
                <w:tab w:val="left" w:pos="240"/>
                <w:tab w:val="center" w:pos="4839"/>
              </w:tabs>
              <w:rPr>
                <w:rFonts w:ascii="Arial" w:hAnsi="Arial" w:cs="Arial"/>
              </w:rPr>
            </w:pPr>
            <w:r w:rsidRPr="003C0C23">
              <w:rPr>
                <w:rFonts w:ascii="Arial" w:hAnsi="Arial" w:cs="Arial"/>
              </w:rPr>
              <w:t xml:space="preserve">The motion approved by the commission Dec. 19 also allows AGL to continue use of the Georgia Rate Adjustment Mechanism, or GRAM, with a 5% cap on any base rate increased requested in 2021. The motion also included a number of tariff revisions and requirements for the company to increase safety measures and improve its customer </w:t>
            </w:r>
            <w:proofErr w:type="gramStart"/>
            <w:r w:rsidRPr="003C0C23">
              <w:rPr>
                <w:rFonts w:ascii="Arial" w:hAnsi="Arial" w:cs="Arial"/>
              </w:rPr>
              <w:t>service, and</w:t>
            </w:r>
            <w:proofErr w:type="gramEnd"/>
            <w:r w:rsidRPr="003C0C23">
              <w:rPr>
                <w:rFonts w:ascii="Arial" w:hAnsi="Arial" w:cs="Arial"/>
              </w:rPr>
              <w:t xml:space="preserve"> includes the implementation of a new long-range planning tool. According to </w:t>
            </w:r>
            <w:proofErr w:type="spellStart"/>
            <w:r w:rsidRPr="003C0C23">
              <w:rPr>
                <w:rFonts w:ascii="Arial" w:hAnsi="Arial" w:cs="Arial"/>
              </w:rPr>
              <w:t>Southern's</w:t>
            </w:r>
            <w:proofErr w:type="spellEnd"/>
            <w:r w:rsidRPr="003C0C23">
              <w:rPr>
                <w:rFonts w:ascii="Arial" w:hAnsi="Arial" w:cs="Arial"/>
              </w:rPr>
              <w:t xml:space="preserve"> Form 8-K, the motion requires AGL to file a notice of proposed rulemaking by Jan. 31, 2020, "to integrate its existing capacity supply plan with an infrastructure delivery plan." This tool is intended to allow the PSC to examine and approve parameters for AGL's capital budgets — including related operations and maintenance spending — associated with multiyear outlooks; once rules are established, AGL will need to make subsequent long-range plan filings with the PSC.</w:t>
            </w:r>
          </w:p>
          <w:p w14:paraId="6942D62B" w14:textId="77777777" w:rsidR="009869F2" w:rsidRDefault="009869F2" w:rsidP="003C0C23">
            <w:pPr>
              <w:tabs>
                <w:tab w:val="left" w:pos="240"/>
                <w:tab w:val="center" w:pos="4839"/>
              </w:tabs>
              <w:rPr>
                <w:rFonts w:ascii="Arial" w:hAnsi="Arial" w:cs="Arial"/>
              </w:rPr>
            </w:pPr>
          </w:p>
          <w:p w14:paraId="441F17C6" w14:textId="77777777" w:rsidR="009869F2" w:rsidRDefault="009869F2" w:rsidP="003C0C23">
            <w:pPr>
              <w:tabs>
                <w:tab w:val="left" w:pos="240"/>
                <w:tab w:val="center" w:pos="4839"/>
              </w:tabs>
              <w:rPr>
                <w:rFonts w:ascii="Arial" w:hAnsi="Arial" w:cs="Arial"/>
              </w:rPr>
            </w:pPr>
            <w:r w:rsidRPr="009869F2">
              <w:rPr>
                <w:rFonts w:ascii="Arial" w:hAnsi="Arial" w:cs="Arial"/>
              </w:rPr>
              <w:t xml:space="preserve">While the commission voted unanimously for the motion, Commissioner Trisha </w:t>
            </w:r>
            <w:proofErr w:type="spellStart"/>
            <w:r w:rsidRPr="009869F2">
              <w:rPr>
                <w:rFonts w:ascii="Arial" w:hAnsi="Arial" w:cs="Arial"/>
              </w:rPr>
              <w:t>Pridemore</w:t>
            </w:r>
            <w:proofErr w:type="spellEnd"/>
            <w:r w:rsidRPr="009869F2">
              <w:rPr>
                <w:rFonts w:ascii="Arial" w:hAnsi="Arial" w:cs="Arial"/>
              </w:rPr>
              <w:t xml:space="preserve"> issued a warning to the company as it looks toward its next rate proceedings. In her comments, she noted that the rate increase was higher than she would have liked</w:t>
            </w:r>
            <w:r>
              <w:rPr>
                <w:rFonts w:ascii="Arial" w:hAnsi="Arial" w:cs="Arial"/>
              </w:rPr>
              <w:t xml:space="preserve">, the filings lacked </w:t>
            </w:r>
            <w:proofErr w:type="gramStart"/>
            <w:r>
              <w:rPr>
                <w:rFonts w:ascii="Arial" w:hAnsi="Arial" w:cs="Arial"/>
              </w:rPr>
              <w:t>sufficient</w:t>
            </w:r>
            <w:proofErr w:type="gramEnd"/>
            <w:r>
              <w:rPr>
                <w:rFonts w:ascii="Arial" w:hAnsi="Arial" w:cs="Arial"/>
              </w:rPr>
              <w:t xml:space="preserve"> details, and the cost estimates were overly inflated. </w:t>
            </w:r>
          </w:p>
          <w:p w14:paraId="77DFCCD6" w14:textId="77777777" w:rsidR="00CD5878" w:rsidRPr="00B51D1F" w:rsidRDefault="00CD5878" w:rsidP="00935547">
            <w:pPr>
              <w:tabs>
                <w:tab w:val="left" w:pos="240"/>
                <w:tab w:val="center" w:pos="4839"/>
              </w:tabs>
              <w:rPr>
                <w:rFonts w:ascii="Arial" w:hAnsi="Arial" w:cs="Arial"/>
              </w:rPr>
            </w:pPr>
          </w:p>
        </w:tc>
      </w:tr>
    </w:tbl>
    <w:p w14:paraId="345E71A2" w14:textId="77777777" w:rsidR="00CD5878" w:rsidRDefault="00CD5878" w:rsidP="009965F4">
      <w:pPr>
        <w:rPr>
          <w:rFonts w:ascii="Arial" w:hAnsi="Arial" w:cs="Arial"/>
          <w:i/>
          <w:iCs/>
          <w:color w:val="000000"/>
          <w:sz w:val="18"/>
          <w:szCs w:val="18"/>
        </w:rPr>
      </w:pPr>
    </w:p>
    <w:tbl>
      <w:tblPr>
        <w:tblStyle w:val="TableGrid"/>
        <w:tblW w:w="9895" w:type="dxa"/>
        <w:tblLook w:val="04A0" w:firstRow="1" w:lastRow="0" w:firstColumn="1" w:lastColumn="0" w:noHBand="0" w:noVBand="1"/>
      </w:tblPr>
      <w:tblGrid>
        <w:gridCol w:w="2245"/>
        <w:gridCol w:w="7650"/>
      </w:tblGrid>
      <w:tr w:rsidR="00CD5878" w:rsidRPr="000602A6" w14:paraId="218A4A61" w14:textId="77777777" w:rsidTr="00935547">
        <w:trPr>
          <w:trHeight w:val="279"/>
        </w:trPr>
        <w:tc>
          <w:tcPr>
            <w:tcW w:w="9895" w:type="dxa"/>
            <w:gridSpan w:val="2"/>
            <w:shd w:val="clear" w:color="auto" w:fill="1F4E79" w:themeFill="accent1" w:themeFillShade="80"/>
          </w:tcPr>
          <w:p w14:paraId="263A3184" w14:textId="77777777" w:rsidR="00CD5878" w:rsidRPr="000602A6" w:rsidRDefault="00652E09" w:rsidP="00935547">
            <w:pPr>
              <w:jc w:val="center"/>
              <w:rPr>
                <w:rFonts w:ascii="Arial" w:hAnsi="Arial" w:cs="Arial"/>
                <w:b/>
                <w:color w:val="FFFFFF" w:themeColor="background1"/>
              </w:rPr>
            </w:pPr>
            <w:r>
              <w:rPr>
                <w:rFonts w:ascii="Arial" w:hAnsi="Arial" w:cs="Arial"/>
                <w:b/>
                <w:color w:val="FFFFFF" w:themeColor="background1"/>
              </w:rPr>
              <w:t>December 20</w:t>
            </w:r>
            <w:r w:rsidR="00CD5878">
              <w:rPr>
                <w:rFonts w:ascii="Arial" w:hAnsi="Arial" w:cs="Arial"/>
                <w:b/>
                <w:color w:val="FFFFFF" w:themeColor="background1"/>
              </w:rPr>
              <w:t>, 2019</w:t>
            </w:r>
          </w:p>
        </w:tc>
      </w:tr>
      <w:tr w:rsidR="00CD5878" w:rsidRPr="000602A6" w14:paraId="36E0BB05" w14:textId="77777777" w:rsidTr="00935547">
        <w:trPr>
          <w:trHeight w:val="279"/>
        </w:trPr>
        <w:tc>
          <w:tcPr>
            <w:tcW w:w="2245" w:type="dxa"/>
            <w:shd w:val="clear" w:color="auto" w:fill="1F4E79" w:themeFill="accent1" w:themeFillShade="80"/>
          </w:tcPr>
          <w:p w14:paraId="51543245"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14:paraId="26196266" w14:textId="77777777" w:rsidR="00CD5878" w:rsidRPr="000602A6" w:rsidRDefault="00652E09" w:rsidP="00935547">
            <w:pPr>
              <w:rPr>
                <w:rFonts w:ascii="Arial" w:hAnsi="Arial" w:cs="Arial"/>
              </w:rPr>
            </w:pPr>
            <w:r>
              <w:rPr>
                <w:rFonts w:ascii="Arial" w:hAnsi="Arial" w:cs="Arial"/>
              </w:rPr>
              <w:t>Washington Gas Light Co.</w:t>
            </w:r>
          </w:p>
        </w:tc>
      </w:tr>
      <w:tr w:rsidR="00CD5878" w:rsidRPr="00B51D1F" w14:paraId="166EFF02" w14:textId="77777777" w:rsidTr="00935547">
        <w:trPr>
          <w:trHeight w:val="279"/>
        </w:trPr>
        <w:tc>
          <w:tcPr>
            <w:tcW w:w="2245" w:type="dxa"/>
            <w:shd w:val="clear" w:color="auto" w:fill="1F4E79" w:themeFill="accent1" w:themeFillShade="80"/>
          </w:tcPr>
          <w:p w14:paraId="66739218"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14:paraId="7AB89668" w14:textId="77777777" w:rsidR="00CD5878" w:rsidRPr="00B51D1F" w:rsidRDefault="00652E09" w:rsidP="00935547">
            <w:pPr>
              <w:rPr>
                <w:rFonts w:ascii="Arial" w:hAnsi="Arial" w:cs="Arial"/>
              </w:rPr>
            </w:pPr>
            <w:r>
              <w:rPr>
                <w:rFonts w:ascii="Arial" w:hAnsi="Arial" w:cs="Arial"/>
              </w:rPr>
              <w:t>Virginia</w:t>
            </w:r>
          </w:p>
        </w:tc>
      </w:tr>
      <w:tr w:rsidR="00CD5878" w:rsidRPr="00B51D1F" w14:paraId="297830A4" w14:textId="77777777" w:rsidTr="00935547">
        <w:trPr>
          <w:trHeight w:val="263"/>
        </w:trPr>
        <w:tc>
          <w:tcPr>
            <w:tcW w:w="2245" w:type="dxa"/>
            <w:shd w:val="clear" w:color="auto" w:fill="1F4E79" w:themeFill="accent1" w:themeFillShade="80"/>
          </w:tcPr>
          <w:p w14:paraId="3B39A081"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14:paraId="2CCF5838" w14:textId="77777777" w:rsidR="00CD5878" w:rsidRPr="00B51D1F" w:rsidRDefault="002304F2" w:rsidP="00935547">
            <w:pPr>
              <w:rPr>
                <w:rFonts w:ascii="Arial" w:hAnsi="Arial" w:cs="Arial"/>
                <w:color w:val="0000FF"/>
                <w:u w:val="single"/>
              </w:rPr>
            </w:pPr>
            <w:hyperlink r:id="rId31" w:anchor="/caseDetails/138676" w:history="1">
              <w:r w:rsidR="009869F2" w:rsidRPr="002304F2">
                <w:rPr>
                  <w:rStyle w:val="Hyperlink"/>
                  <w:rFonts w:ascii="Arial" w:hAnsi="Arial" w:cs="Arial"/>
                </w:rPr>
                <w:t>PUE-2018-000</w:t>
              </w:r>
              <w:r w:rsidRPr="002304F2">
                <w:rPr>
                  <w:rStyle w:val="Hyperlink"/>
                  <w:rFonts w:ascii="Arial" w:hAnsi="Arial" w:cs="Arial"/>
                </w:rPr>
                <w:t>80</w:t>
              </w:r>
            </w:hyperlink>
          </w:p>
        </w:tc>
      </w:tr>
      <w:tr w:rsidR="00CD5878" w:rsidRPr="006A20C9" w14:paraId="7888D383" w14:textId="77777777" w:rsidTr="00935547">
        <w:trPr>
          <w:trHeight w:val="279"/>
        </w:trPr>
        <w:tc>
          <w:tcPr>
            <w:tcW w:w="2245" w:type="dxa"/>
            <w:shd w:val="clear" w:color="auto" w:fill="1F4E79" w:themeFill="accent1" w:themeFillShade="80"/>
          </w:tcPr>
          <w:p w14:paraId="02EEC452"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14:paraId="1CEE2EDF" w14:textId="77777777" w:rsidR="00CD5878" w:rsidRPr="006A20C9" w:rsidRDefault="00CD5878" w:rsidP="00935547">
            <w:pPr>
              <w:rPr>
                <w:rFonts w:ascii="Arial" w:hAnsi="Arial" w:cs="Arial"/>
              </w:rPr>
            </w:pPr>
            <w:r w:rsidRPr="006A20C9">
              <w:rPr>
                <w:rFonts w:ascii="Arial" w:hAnsi="Arial" w:cs="Arial"/>
              </w:rPr>
              <w:t>$</w:t>
            </w:r>
            <w:r w:rsidR="00652E09">
              <w:rPr>
                <w:rFonts w:ascii="Arial" w:hAnsi="Arial" w:cs="Arial"/>
              </w:rPr>
              <w:t>13,200,000</w:t>
            </w:r>
          </w:p>
        </w:tc>
      </w:tr>
      <w:tr w:rsidR="00CD5878" w:rsidRPr="00B51D1F" w14:paraId="2972F3D7" w14:textId="77777777" w:rsidTr="00935547">
        <w:trPr>
          <w:trHeight w:val="263"/>
        </w:trPr>
        <w:tc>
          <w:tcPr>
            <w:tcW w:w="2245" w:type="dxa"/>
            <w:shd w:val="clear" w:color="auto" w:fill="1F4E79" w:themeFill="accent1" w:themeFillShade="80"/>
          </w:tcPr>
          <w:p w14:paraId="342749C4" w14:textId="77777777" w:rsidR="00CD5878" w:rsidRPr="00B51D1F" w:rsidRDefault="00CD5878" w:rsidP="00935547">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14:paraId="6245C3BC" w14:textId="77777777" w:rsidR="00CD5878" w:rsidRPr="00B51D1F" w:rsidRDefault="00652E09" w:rsidP="00935547">
            <w:pPr>
              <w:rPr>
                <w:rFonts w:ascii="Arial" w:hAnsi="Arial" w:cs="Arial"/>
              </w:rPr>
            </w:pPr>
            <w:r>
              <w:rPr>
                <w:rFonts w:ascii="Arial" w:hAnsi="Arial" w:cs="Arial"/>
              </w:rPr>
              <w:t>9.20%</w:t>
            </w:r>
          </w:p>
        </w:tc>
      </w:tr>
      <w:tr w:rsidR="00CD5878" w:rsidRPr="00B51D1F" w14:paraId="315AD2B9" w14:textId="77777777" w:rsidTr="00935547">
        <w:trPr>
          <w:trHeight w:val="263"/>
        </w:trPr>
        <w:tc>
          <w:tcPr>
            <w:tcW w:w="2245" w:type="dxa"/>
            <w:shd w:val="clear" w:color="auto" w:fill="1F4E79" w:themeFill="accent1" w:themeFillShade="80"/>
          </w:tcPr>
          <w:p w14:paraId="3A015234" w14:textId="77777777" w:rsidR="00CD5878" w:rsidRPr="00B51D1F" w:rsidRDefault="00CD5878" w:rsidP="00935547">
            <w:pPr>
              <w:rPr>
                <w:rFonts w:ascii="Arial" w:hAnsi="Arial" w:cs="Arial"/>
                <w:b/>
                <w:color w:val="FFFFFF" w:themeColor="background1"/>
              </w:rPr>
            </w:pPr>
            <w:r>
              <w:rPr>
                <w:rFonts w:ascii="Arial" w:hAnsi="Arial" w:cs="Arial"/>
                <w:b/>
                <w:color w:val="FFFFFF" w:themeColor="background1"/>
              </w:rPr>
              <w:t>Intervenors</w:t>
            </w:r>
          </w:p>
        </w:tc>
        <w:tc>
          <w:tcPr>
            <w:tcW w:w="7650" w:type="dxa"/>
          </w:tcPr>
          <w:p w14:paraId="5FBB5939" w14:textId="77777777" w:rsidR="00CD5878" w:rsidRPr="00B51D1F" w:rsidRDefault="002304F2" w:rsidP="00935547">
            <w:pPr>
              <w:rPr>
                <w:rFonts w:ascii="Arial" w:hAnsi="Arial" w:cs="Arial"/>
              </w:rPr>
            </w:pPr>
            <w:r>
              <w:rPr>
                <w:rFonts w:ascii="Arial" w:hAnsi="Arial" w:cs="Arial"/>
              </w:rPr>
              <w:t>Apartment and Office Building Association, Fairfax County</w:t>
            </w:r>
          </w:p>
        </w:tc>
      </w:tr>
      <w:tr w:rsidR="00CD5878" w:rsidRPr="00B51D1F" w14:paraId="78EB930E" w14:textId="77777777" w:rsidTr="00935547">
        <w:trPr>
          <w:trHeight w:val="263"/>
        </w:trPr>
        <w:tc>
          <w:tcPr>
            <w:tcW w:w="9895" w:type="dxa"/>
            <w:gridSpan w:val="2"/>
            <w:shd w:val="clear" w:color="auto" w:fill="1F4E79" w:themeFill="accent1" w:themeFillShade="80"/>
          </w:tcPr>
          <w:p w14:paraId="0452D615" w14:textId="77777777" w:rsidR="00CD5878" w:rsidRPr="00B51D1F" w:rsidRDefault="00CD5878" w:rsidP="00935547">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CD5878" w:rsidRPr="00B51D1F" w14:paraId="25090006" w14:textId="77777777" w:rsidTr="00935547">
        <w:trPr>
          <w:trHeight w:val="263"/>
        </w:trPr>
        <w:tc>
          <w:tcPr>
            <w:tcW w:w="9895" w:type="dxa"/>
            <w:gridSpan w:val="2"/>
            <w:shd w:val="clear" w:color="auto" w:fill="FFFFFF" w:themeFill="background1"/>
          </w:tcPr>
          <w:p w14:paraId="00757F78" w14:textId="77777777" w:rsidR="009869F2" w:rsidRPr="009869F2" w:rsidRDefault="009869F2" w:rsidP="009869F2">
            <w:pPr>
              <w:tabs>
                <w:tab w:val="left" w:pos="240"/>
                <w:tab w:val="center" w:pos="4839"/>
              </w:tabs>
              <w:rPr>
                <w:rFonts w:ascii="Arial" w:hAnsi="Arial" w:cs="Arial"/>
              </w:rPr>
            </w:pPr>
            <w:r w:rsidRPr="009869F2">
              <w:rPr>
                <w:rFonts w:ascii="Arial" w:hAnsi="Arial" w:cs="Arial"/>
              </w:rPr>
              <w:t>On December 20, the Virginia State Corporation Commission issued an order authorizing Washington Gas Light to increase gas base distribution rates by $13.2 million to reflect the roll-in to base rates of revenues that are currently being collected through the Steps to Advance Virginia Energy rider.</w:t>
            </w:r>
          </w:p>
          <w:p w14:paraId="36A7C9FA" w14:textId="77777777" w:rsidR="009869F2" w:rsidRPr="009869F2" w:rsidRDefault="009869F2" w:rsidP="009869F2">
            <w:pPr>
              <w:tabs>
                <w:tab w:val="left" w:pos="240"/>
                <w:tab w:val="center" w:pos="4839"/>
              </w:tabs>
              <w:rPr>
                <w:rFonts w:ascii="Arial" w:hAnsi="Arial" w:cs="Arial"/>
              </w:rPr>
            </w:pPr>
          </w:p>
          <w:p w14:paraId="5DFC5C2E" w14:textId="77777777" w:rsidR="009869F2" w:rsidRPr="009869F2" w:rsidRDefault="009869F2" w:rsidP="009869F2">
            <w:pPr>
              <w:tabs>
                <w:tab w:val="left" w:pos="240"/>
                <w:tab w:val="center" w:pos="4839"/>
              </w:tabs>
              <w:rPr>
                <w:rFonts w:ascii="Arial" w:hAnsi="Arial" w:cs="Arial"/>
              </w:rPr>
            </w:pPr>
            <w:r w:rsidRPr="009869F2">
              <w:rPr>
                <w:rFonts w:ascii="Arial" w:hAnsi="Arial" w:cs="Arial"/>
              </w:rPr>
              <w:t xml:space="preserve">However, the commission found that no further increase in base rates is necessary because for the "rate year" ending December 31, 2019, WGL would fully recover its cost of service and earn </w:t>
            </w:r>
            <w:proofErr w:type="gramStart"/>
            <w:r w:rsidRPr="009869F2">
              <w:rPr>
                <w:rFonts w:ascii="Arial" w:hAnsi="Arial" w:cs="Arial"/>
              </w:rPr>
              <w:t>an</w:t>
            </w:r>
            <w:proofErr w:type="gramEnd"/>
            <w:r w:rsidRPr="009869F2">
              <w:rPr>
                <w:rFonts w:ascii="Arial" w:hAnsi="Arial" w:cs="Arial"/>
              </w:rPr>
              <w:t xml:space="preserve"> ROE of 8.86%, which is within the range of reasonableness of 8.7% to 9.7% adopted by the commission in this proceeding. Hence, customers will see no net overall rate change.</w:t>
            </w:r>
          </w:p>
          <w:p w14:paraId="35692648" w14:textId="77777777" w:rsidR="009869F2" w:rsidRPr="009869F2" w:rsidRDefault="009869F2" w:rsidP="009869F2">
            <w:pPr>
              <w:tabs>
                <w:tab w:val="left" w:pos="240"/>
                <w:tab w:val="center" w:pos="4839"/>
              </w:tabs>
              <w:rPr>
                <w:rFonts w:ascii="Arial" w:hAnsi="Arial" w:cs="Arial"/>
              </w:rPr>
            </w:pPr>
          </w:p>
          <w:p w14:paraId="1DEE5C45" w14:textId="4DF90150" w:rsidR="009869F2" w:rsidRPr="009869F2" w:rsidRDefault="009869F2" w:rsidP="009869F2">
            <w:pPr>
              <w:tabs>
                <w:tab w:val="left" w:pos="240"/>
                <w:tab w:val="center" w:pos="4839"/>
              </w:tabs>
              <w:rPr>
                <w:rFonts w:ascii="Arial" w:hAnsi="Arial" w:cs="Arial"/>
              </w:rPr>
            </w:pPr>
            <w:r w:rsidRPr="009869F2">
              <w:rPr>
                <w:rFonts w:ascii="Arial" w:hAnsi="Arial" w:cs="Arial"/>
              </w:rPr>
              <w:t>In addition, the commission order calls for WGL to return to ratepayers over 12 months, with interest, a $25.5 million regulatory liability associated with the 2017 federal tax overhaul.</w:t>
            </w:r>
          </w:p>
          <w:p w14:paraId="5C567AD0" w14:textId="77777777" w:rsidR="009869F2" w:rsidRPr="009869F2" w:rsidRDefault="009869F2" w:rsidP="009869F2">
            <w:pPr>
              <w:tabs>
                <w:tab w:val="left" w:pos="240"/>
                <w:tab w:val="center" w:pos="4839"/>
              </w:tabs>
              <w:rPr>
                <w:rFonts w:ascii="Arial" w:hAnsi="Arial" w:cs="Arial"/>
              </w:rPr>
            </w:pPr>
          </w:p>
          <w:p w14:paraId="7CB25CCB" w14:textId="77777777" w:rsidR="00CD5878" w:rsidRDefault="009869F2" w:rsidP="009869F2">
            <w:pPr>
              <w:tabs>
                <w:tab w:val="left" w:pos="240"/>
                <w:tab w:val="center" w:pos="4839"/>
              </w:tabs>
              <w:rPr>
                <w:rFonts w:ascii="Arial" w:hAnsi="Arial" w:cs="Arial"/>
              </w:rPr>
            </w:pPr>
            <w:r w:rsidRPr="009869F2">
              <w:rPr>
                <w:rFonts w:ascii="Arial" w:hAnsi="Arial" w:cs="Arial"/>
              </w:rPr>
              <w:t>Since interim rates were implemented in January that exceed the level now approved by the commission, refunds will be required.</w:t>
            </w:r>
          </w:p>
          <w:p w14:paraId="619ED2C7" w14:textId="77777777" w:rsidR="00CD5878" w:rsidRPr="00B51D1F" w:rsidRDefault="00CD5878" w:rsidP="00935547">
            <w:pPr>
              <w:tabs>
                <w:tab w:val="left" w:pos="240"/>
                <w:tab w:val="center" w:pos="4839"/>
              </w:tabs>
              <w:rPr>
                <w:rFonts w:ascii="Arial" w:hAnsi="Arial" w:cs="Arial"/>
              </w:rPr>
            </w:pPr>
          </w:p>
        </w:tc>
      </w:tr>
    </w:tbl>
    <w:p w14:paraId="6552B6F3" w14:textId="77777777" w:rsidR="00CD5878" w:rsidRDefault="00CD5878" w:rsidP="009965F4">
      <w:pPr>
        <w:rPr>
          <w:rFonts w:ascii="Arial" w:hAnsi="Arial" w:cs="Arial"/>
          <w:i/>
          <w:iCs/>
          <w:color w:val="000000"/>
          <w:sz w:val="18"/>
          <w:szCs w:val="18"/>
        </w:rPr>
      </w:pPr>
    </w:p>
    <w:tbl>
      <w:tblPr>
        <w:tblStyle w:val="TableGrid"/>
        <w:tblW w:w="9895" w:type="dxa"/>
        <w:tblLook w:val="04A0" w:firstRow="1" w:lastRow="0" w:firstColumn="1" w:lastColumn="0" w:noHBand="0" w:noVBand="1"/>
      </w:tblPr>
      <w:tblGrid>
        <w:gridCol w:w="2245"/>
        <w:gridCol w:w="7650"/>
      </w:tblGrid>
      <w:tr w:rsidR="00652E09" w:rsidRPr="000602A6" w14:paraId="3903F508" w14:textId="77777777" w:rsidTr="00F103A3">
        <w:trPr>
          <w:trHeight w:val="279"/>
        </w:trPr>
        <w:tc>
          <w:tcPr>
            <w:tcW w:w="9895" w:type="dxa"/>
            <w:gridSpan w:val="2"/>
            <w:shd w:val="clear" w:color="auto" w:fill="1F4E79" w:themeFill="accent1" w:themeFillShade="80"/>
          </w:tcPr>
          <w:p w14:paraId="31418123" w14:textId="77777777" w:rsidR="00652E09" w:rsidRPr="000602A6" w:rsidRDefault="00652E09" w:rsidP="00F103A3">
            <w:pPr>
              <w:jc w:val="center"/>
              <w:rPr>
                <w:rFonts w:ascii="Arial" w:hAnsi="Arial" w:cs="Arial"/>
                <w:b/>
                <w:color w:val="FFFFFF" w:themeColor="background1"/>
              </w:rPr>
            </w:pPr>
            <w:r>
              <w:rPr>
                <w:rFonts w:ascii="Arial" w:hAnsi="Arial" w:cs="Arial"/>
                <w:b/>
                <w:color w:val="FFFFFF" w:themeColor="background1"/>
              </w:rPr>
              <w:t>December 26, 2019</w:t>
            </w:r>
          </w:p>
        </w:tc>
      </w:tr>
      <w:tr w:rsidR="00652E09" w:rsidRPr="000602A6" w14:paraId="000BC5F5" w14:textId="77777777" w:rsidTr="00F103A3">
        <w:trPr>
          <w:trHeight w:val="279"/>
        </w:trPr>
        <w:tc>
          <w:tcPr>
            <w:tcW w:w="2245" w:type="dxa"/>
            <w:shd w:val="clear" w:color="auto" w:fill="1F4E79" w:themeFill="accent1" w:themeFillShade="80"/>
          </w:tcPr>
          <w:p w14:paraId="67DBFB29" w14:textId="77777777" w:rsidR="00652E09" w:rsidRPr="00B51D1F" w:rsidRDefault="00652E09" w:rsidP="00F103A3">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14:paraId="7D3F4A21" w14:textId="77777777" w:rsidR="00652E09" w:rsidRPr="000602A6" w:rsidRDefault="00652E09" w:rsidP="00F103A3">
            <w:pPr>
              <w:rPr>
                <w:rFonts w:ascii="Arial" w:hAnsi="Arial" w:cs="Arial"/>
              </w:rPr>
            </w:pPr>
            <w:r>
              <w:rPr>
                <w:rFonts w:ascii="Arial" w:hAnsi="Arial" w:cs="Arial"/>
              </w:rPr>
              <w:t>Mountaineer Gas Co.</w:t>
            </w:r>
          </w:p>
        </w:tc>
      </w:tr>
      <w:tr w:rsidR="00652E09" w:rsidRPr="00B51D1F" w14:paraId="4034998F" w14:textId="77777777" w:rsidTr="00F103A3">
        <w:trPr>
          <w:trHeight w:val="279"/>
        </w:trPr>
        <w:tc>
          <w:tcPr>
            <w:tcW w:w="2245" w:type="dxa"/>
            <w:shd w:val="clear" w:color="auto" w:fill="1F4E79" w:themeFill="accent1" w:themeFillShade="80"/>
          </w:tcPr>
          <w:p w14:paraId="5EB6061E" w14:textId="77777777" w:rsidR="00652E09" w:rsidRPr="00B51D1F" w:rsidRDefault="00652E09" w:rsidP="00F103A3">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14:paraId="08159CFF" w14:textId="77777777" w:rsidR="00652E09" w:rsidRPr="00B51D1F" w:rsidRDefault="00652E09" w:rsidP="00F103A3">
            <w:pPr>
              <w:rPr>
                <w:rFonts w:ascii="Arial" w:hAnsi="Arial" w:cs="Arial"/>
              </w:rPr>
            </w:pPr>
            <w:r>
              <w:rPr>
                <w:rFonts w:ascii="Arial" w:hAnsi="Arial" w:cs="Arial"/>
              </w:rPr>
              <w:t>West Virginia</w:t>
            </w:r>
          </w:p>
        </w:tc>
      </w:tr>
      <w:tr w:rsidR="00652E09" w:rsidRPr="00B51D1F" w14:paraId="5A183B7E" w14:textId="77777777" w:rsidTr="00F103A3">
        <w:trPr>
          <w:trHeight w:val="263"/>
        </w:trPr>
        <w:tc>
          <w:tcPr>
            <w:tcW w:w="2245" w:type="dxa"/>
            <w:shd w:val="clear" w:color="auto" w:fill="1F4E79" w:themeFill="accent1" w:themeFillShade="80"/>
          </w:tcPr>
          <w:p w14:paraId="3CF3E242" w14:textId="77777777" w:rsidR="00652E09" w:rsidRPr="00B51D1F" w:rsidRDefault="00652E09" w:rsidP="00F103A3">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14:paraId="733BD99C" w14:textId="77777777" w:rsidR="00652E09" w:rsidRPr="00B51D1F" w:rsidRDefault="0082264B" w:rsidP="00F103A3">
            <w:pPr>
              <w:rPr>
                <w:rFonts w:ascii="Arial" w:hAnsi="Arial" w:cs="Arial"/>
                <w:color w:val="0000FF"/>
                <w:u w:val="single"/>
              </w:rPr>
            </w:pPr>
            <w:r w:rsidRPr="0082264B">
              <w:rPr>
                <w:rFonts w:ascii="Arial" w:hAnsi="Arial" w:cs="Arial"/>
                <w:color w:val="0000FF"/>
                <w:u w:val="single"/>
              </w:rPr>
              <w:t>19-0709-G-390P</w:t>
            </w:r>
          </w:p>
        </w:tc>
      </w:tr>
      <w:tr w:rsidR="00652E09" w:rsidRPr="006A20C9" w14:paraId="3E459C1D" w14:textId="77777777" w:rsidTr="00F103A3">
        <w:trPr>
          <w:trHeight w:val="279"/>
        </w:trPr>
        <w:tc>
          <w:tcPr>
            <w:tcW w:w="2245" w:type="dxa"/>
            <w:shd w:val="clear" w:color="auto" w:fill="1F4E79" w:themeFill="accent1" w:themeFillShade="80"/>
          </w:tcPr>
          <w:p w14:paraId="6EAF3A7F" w14:textId="77777777" w:rsidR="00652E09" w:rsidRPr="00B51D1F" w:rsidRDefault="00652E09" w:rsidP="00F103A3">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14:paraId="5363FF4A" w14:textId="77777777" w:rsidR="00652E09" w:rsidRPr="006A20C9" w:rsidRDefault="00652E09" w:rsidP="00F103A3">
            <w:pPr>
              <w:rPr>
                <w:rFonts w:ascii="Arial" w:hAnsi="Arial" w:cs="Arial"/>
              </w:rPr>
            </w:pPr>
            <w:r w:rsidRPr="006A20C9">
              <w:rPr>
                <w:rFonts w:ascii="Arial" w:hAnsi="Arial" w:cs="Arial"/>
              </w:rPr>
              <w:t>$</w:t>
            </w:r>
            <w:r>
              <w:rPr>
                <w:rFonts w:ascii="Arial" w:hAnsi="Arial" w:cs="Arial"/>
              </w:rPr>
              <w:t>12,400,000</w:t>
            </w:r>
          </w:p>
        </w:tc>
      </w:tr>
      <w:tr w:rsidR="00652E09" w:rsidRPr="00B51D1F" w14:paraId="47CFBCEC" w14:textId="77777777" w:rsidTr="00F103A3">
        <w:trPr>
          <w:trHeight w:val="263"/>
        </w:trPr>
        <w:tc>
          <w:tcPr>
            <w:tcW w:w="2245" w:type="dxa"/>
            <w:shd w:val="clear" w:color="auto" w:fill="1F4E79" w:themeFill="accent1" w:themeFillShade="80"/>
          </w:tcPr>
          <w:p w14:paraId="0F82E366" w14:textId="77777777" w:rsidR="00652E09" w:rsidRPr="00B51D1F" w:rsidRDefault="00652E09" w:rsidP="00F103A3">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14:paraId="2B5A71E2" w14:textId="77777777" w:rsidR="00652E09" w:rsidRPr="00B51D1F" w:rsidRDefault="00652E09" w:rsidP="00F103A3">
            <w:pPr>
              <w:rPr>
                <w:rFonts w:ascii="Arial" w:hAnsi="Arial" w:cs="Arial"/>
              </w:rPr>
            </w:pPr>
            <w:r>
              <w:rPr>
                <w:rFonts w:ascii="Arial" w:hAnsi="Arial" w:cs="Arial"/>
              </w:rPr>
              <w:t>9.75%</w:t>
            </w:r>
          </w:p>
        </w:tc>
      </w:tr>
      <w:tr w:rsidR="00652E09" w:rsidRPr="00B51D1F" w14:paraId="429709F8" w14:textId="77777777" w:rsidTr="00F103A3">
        <w:trPr>
          <w:trHeight w:val="263"/>
        </w:trPr>
        <w:tc>
          <w:tcPr>
            <w:tcW w:w="2245" w:type="dxa"/>
            <w:shd w:val="clear" w:color="auto" w:fill="1F4E79" w:themeFill="accent1" w:themeFillShade="80"/>
          </w:tcPr>
          <w:p w14:paraId="078F9110" w14:textId="77777777" w:rsidR="00652E09" w:rsidRPr="00B51D1F" w:rsidRDefault="00652E09" w:rsidP="00F103A3">
            <w:pPr>
              <w:rPr>
                <w:rFonts w:ascii="Arial" w:hAnsi="Arial" w:cs="Arial"/>
                <w:b/>
                <w:color w:val="FFFFFF" w:themeColor="background1"/>
              </w:rPr>
            </w:pPr>
            <w:r>
              <w:rPr>
                <w:rFonts w:ascii="Arial" w:hAnsi="Arial" w:cs="Arial"/>
                <w:b/>
                <w:color w:val="FFFFFF" w:themeColor="background1"/>
              </w:rPr>
              <w:t>Intervenors</w:t>
            </w:r>
          </w:p>
        </w:tc>
        <w:tc>
          <w:tcPr>
            <w:tcW w:w="7650" w:type="dxa"/>
          </w:tcPr>
          <w:p w14:paraId="29BCD8CC" w14:textId="77777777" w:rsidR="00652E09" w:rsidRDefault="000450AC" w:rsidP="00F103A3">
            <w:pPr>
              <w:rPr>
                <w:rFonts w:ascii="Arial" w:hAnsi="Arial" w:cs="Arial"/>
              </w:rPr>
            </w:pPr>
            <w:r w:rsidRPr="000450AC">
              <w:rPr>
                <w:rFonts w:ascii="Arial" w:hAnsi="Arial" w:cs="Arial"/>
              </w:rPr>
              <w:t>Independent Oil and Gas Association of West Virginia</w:t>
            </w:r>
          </w:p>
          <w:p w14:paraId="4CD5D69C" w14:textId="77777777" w:rsidR="00B10EDD" w:rsidRPr="00B51D1F" w:rsidRDefault="00B10EDD" w:rsidP="00F103A3">
            <w:pPr>
              <w:rPr>
                <w:rFonts w:ascii="Arial" w:hAnsi="Arial" w:cs="Arial"/>
              </w:rPr>
            </w:pPr>
          </w:p>
        </w:tc>
      </w:tr>
      <w:tr w:rsidR="00652E09" w:rsidRPr="00B51D1F" w14:paraId="6AA9C340" w14:textId="77777777" w:rsidTr="00F103A3">
        <w:trPr>
          <w:trHeight w:val="263"/>
        </w:trPr>
        <w:tc>
          <w:tcPr>
            <w:tcW w:w="9895" w:type="dxa"/>
            <w:gridSpan w:val="2"/>
            <w:shd w:val="clear" w:color="auto" w:fill="1F4E79" w:themeFill="accent1" w:themeFillShade="80"/>
          </w:tcPr>
          <w:p w14:paraId="37664D21" w14:textId="77777777" w:rsidR="00652E09" w:rsidRPr="00B51D1F" w:rsidRDefault="00652E09" w:rsidP="00F103A3">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652E09" w:rsidRPr="00B51D1F" w14:paraId="5C6DA107" w14:textId="77777777" w:rsidTr="00F103A3">
        <w:trPr>
          <w:trHeight w:val="263"/>
        </w:trPr>
        <w:tc>
          <w:tcPr>
            <w:tcW w:w="9895" w:type="dxa"/>
            <w:gridSpan w:val="2"/>
            <w:shd w:val="clear" w:color="auto" w:fill="FFFFFF" w:themeFill="background1"/>
          </w:tcPr>
          <w:p w14:paraId="0DB46D68" w14:textId="77777777" w:rsidR="00B10EDD" w:rsidRDefault="00B10EDD" w:rsidP="00B10EDD">
            <w:pPr>
              <w:tabs>
                <w:tab w:val="left" w:pos="240"/>
                <w:tab w:val="center" w:pos="4839"/>
              </w:tabs>
              <w:rPr>
                <w:rFonts w:ascii="Arial" w:hAnsi="Arial" w:cs="Arial"/>
              </w:rPr>
            </w:pPr>
            <w:r>
              <w:rPr>
                <w:rFonts w:ascii="Arial" w:hAnsi="Arial" w:cs="Arial"/>
              </w:rPr>
              <w:t>On December 26 t</w:t>
            </w:r>
            <w:r w:rsidRPr="00B10EDD">
              <w:rPr>
                <w:rFonts w:ascii="Arial" w:hAnsi="Arial" w:cs="Arial"/>
              </w:rPr>
              <w:t xml:space="preserve">he </w:t>
            </w:r>
            <w:r>
              <w:rPr>
                <w:rFonts w:ascii="Arial" w:hAnsi="Arial" w:cs="Arial"/>
              </w:rPr>
              <w:t xml:space="preserve">West Virginia Public Service </w:t>
            </w:r>
            <w:r w:rsidRPr="00B10EDD">
              <w:rPr>
                <w:rFonts w:ascii="Arial" w:hAnsi="Arial" w:cs="Arial"/>
              </w:rPr>
              <w:t>Commission approve</w:t>
            </w:r>
            <w:r>
              <w:rPr>
                <w:rFonts w:ascii="Arial" w:hAnsi="Arial" w:cs="Arial"/>
              </w:rPr>
              <w:t>d</w:t>
            </w:r>
            <w:r w:rsidRPr="00B10EDD">
              <w:rPr>
                <w:rFonts w:ascii="Arial" w:hAnsi="Arial" w:cs="Arial"/>
              </w:rPr>
              <w:t xml:space="preserve"> a $12,420,000 increase in annual base rate revenues</w:t>
            </w:r>
            <w:r>
              <w:rPr>
                <w:rFonts w:ascii="Arial" w:hAnsi="Arial" w:cs="Arial"/>
              </w:rPr>
              <w:t xml:space="preserve"> </w:t>
            </w:r>
            <w:r w:rsidRPr="00B10EDD">
              <w:rPr>
                <w:rFonts w:ascii="Arial" w:hAnsi="Arial" w:cs="Arial"/>
              </w:rPr>
              <w:t xml:space="preserve">and a $3,619, 209 revenue </w:t>
            </w:r>
            <w:proofErr w:type="gramStart"/>
            <w:r w:rsidRPr="00B10EDD">
              <w:rPr>
                <w:rFonts w:ascii="Arial" w:hAnsi="Arial" w:cs="Arial"/>
              </w:rPr>
              <w:t>requirement</w:t>
            </w:r>
            <w:proofErr w:type="gramEnd"/>
            <w:r w:rsidRPr="00B10EDD">
              <w:rPr>
                <w:rFonts w:ascii="Arial" w:hAnsi="Arial" w:cs="Arial"/>
              </w:rPr>
              <w:t xml:space="preserve"> for the Infrastructure Replacement and Expansion</w:t>
            </w:r>
            <w:r>
              <w:rPr>
                <w:rFonts w:ascii="Arial" w:hAnsi="Arial" w:cs="Arial"/>
              </w:rPr>
              <w:t xml:space="preserve"> </w:t>
            </w:r>
            <w:r w:rsidRPr="00B10EDD">
              <w:rPr>
                <w:rFonts w:ascii="Arial" w:hAnsi="Arial" w:cs="Arial"/>
              </w:rPr>
              <w:t>Program (IMP) of Mountaineer Gas Company (Mountaineer), which represents a</w:t>
            </w:r>
            <w:r>
              <w:rPr>
                <w:rFonts w:ascii="Arial" w:hAnsi="Arial" w:cs="Arial"/>
              </w:rPr>
              <w:t xml:space="preserve"> </w:t>
            </w:r>
            <w:r w:rsidRPr="00B10EDD">
              <w:rPr>
                <w:rFonts w:ascii="Arial" w:hAnsi="Arial" w:cs="Arial"/>
              </w:rPr>
              <w:t xml:space="preserve">reduction from the current IREP rates of approximately $5.2 million. The base rate is premised on a ROE of 9.75% </w:t>
            </w:r>
          </w:p>
          <w:p w14:paraId="5DD5EB9F" w14:textId="77777777" w:rsidR="00B10EDD" w:rsidRDefault="00B10EDD" w:rsidP="00B10EDD">
            <w:pPr>
              <w:tabs>
                <w:tab w:val="left" w:pos="240"/>
                <w:tab w:val="center" w:pos="4839"/>
              </w:tabs>
              <w:rPr>
                <w:rFonts w:ascii="Arial" w:hAnsi="Arial" w:cs="Arial"/>
              </w:rPr>
            </w:pPr>
          </w:p>
          <w:p w14:paraId="72BD1F7B" w14:textId="77777777" w:rsidR="00652E09" w:rsidRPr="00B51D1F" w:rsidRDefault="00B10EDD" w:rsidP="00B10EDD">
            <w:pPr>
              <w:tabs>
                <w:tab w:val="left" w:pos="240"/>
                <w:tab w:val="center" w:pos="4839"/>
              </w:tabs>
              <w:rPr>
                <w:rFonts w:ascii="Arial" w:hAnsi="Arial" w:cs="Arial"/>
              </w:rPr>
            </w:pPr>
            <w:r w:rsidRPr="00B10EDD">
              <w:rPr>
                <w:rFonts w:ascii="Arial" w:hAnsi="Arial" w:cs="Arial"/>
              </w:rPr>
              <w:t>The net increase of</w:t>
            </w:r>
            <w:r>
              <w:rPr>
                <w:rFonts w:ascii="Arial" w:hAnsi="Arial" w:cs="Arial"/>
              </w:rPr>
              <w:t xml:space="preserve"> </w:t>
            </w:r>
            <w:r w:rsidRPr="00B10EDD">
              <w:rPr>
                <w:rFonts w:ascii="Arial" w:hAnsi="Arial" w:cs="Arial"/>
              </w:rPr>
              <w:t>approximately $7.22 million in rates fro</w:t>
            </w:r>
            <w:r>
              <w:rPr>
                <w:rFonts w:ascii="Arial" w:hAnsi="Arial" w:cs="Arial"/>
              </w:rPr>
              <w:t>m</w:t>
            </w:r>
            <w:r w:rsidRPr="00B10EDD">
              <w:rPr>
                <w:rFonts w:ascii="Arial" w:hAnsi="Arial" w:cs="Arial"/>
              </w:rPr>
              <w:t xml:space="preserve"> the base rate increase and IREP decrease will</w:t>
            </w:r>
            <w:r>
              <w:rPr>
                <w:rFonts w:ascii="Arial" w:hAnsi="Arial" w:cs="Arial"/>
              </w:rPr>
              <w:t xml:space="preserve"> </w:t>
            </w:r>
            <w:r w:rsidRPr="00B10EDD">
              <w:rPr>
                <w:rFonts w:ascii="Arial" w:hAnsi="Arial" w:cs="Arial"/>
              </w:rPr>
              <w:t>become effective for service rendered on or after January 1, 2020.</w:t>
            </w:r>
            <w:r>
              <w:rPr>
                <w:rFonts w:ascii="Arial" w:hAnsi="Arial" w:cs="Arial"/>
              </w:rPr>
              <w:t xml:space="preserve"> </w:t>
            </w:r>
          </w:p>
        </w:tc>
      </w:tr>
    </w:tbl>
    <w:p w14:paraId="74C76062" w14:textId="77777777" w:rsidR="00CD5878" w:rsidRDefault="00CD5878" w:rsidP="009965F4">
      <w:pPr>
        <w:rPr>
          <w:rFonts w:ascii="Arial" w:hAnsi="Arial" w:cs="Arial"/>
          <w:i/>
          <w:iCs/>
          <w:color w:val="000000"/>
          <w:sz w:val="18"/>
          <w:szCs w:val="18"/>
        </w:rPr>
      </w:pPr>
    </w:p>
    <w:p w14:paraId="1FC97D73" w14:textId="77777777" w:rsidR="00DB1A39" w:rsidRPr="00B51D1F" w:rsidRDefault="00DB1A39" w:rsidP="009965F4">
      <w:pPr>
        <w:rPr>
          <w:rFonts w:ascii="Arial" w:hAnsi="Arial" w:cs="Arial"/>
        </w:rPr>
      </w:pPr>
      <w:r w:rsidRPr="00B51D1F">
        <w:rPr>
          <w:rFonts w:ascii="Arial" w:hAnsi="Arial" w:cs="Arial"/>
          <w:i/>
          <w:iCs/>
          <w:color w:val="000000"/>
          <w:sz w:val="18"/>
          <w:szCs w:val="18"/>
        </w:rPr>
        <w:t>This document has been prepared by the American Gas Association for members. In issuing and making this publication available, AGA is not undertaking to render professional or other services for or on behalf of any person or entity. Nor is AGA undertaking to perform any duty owed by any person or entity to someone else. The statements in this publication are for general information only and it does not provide a legal opinion or legal advice for any purpose. Information on the topics covered by this publication may be available from other sources, which the user may wish to consult for additional views or information not covered by this publication. © Copyright 201</w:t>
      </w:r>
      <w:r w:rsidR="00963890">
        <w:rPr>
          <w:rFonts w:ascii="Arial" w:hAnsi="Arial" w:cs="Arial"/>
          <w:i/>
          <w:iCs/>
          <w:color w:val="000000"/>
          <w:sz w:val="18"/>
          <w:szCs w:val="18"/>
        </w:rPr>
        <w:t>9</w:t>
      </w:r>
      <w:r w:rsidR="00CC364C" w:rsidRPr="00B51D1F">
        <w:rPr>
          <w:rFonts w:ascii="Arial" w:hAnsi="Arial" w:cs="Arial"/>
          <w:i/>
          <w:iCs/>
          <w:color w:val="000000"/>
          <w:sz w:val="18"/>
          <w:szCs w:val="18"/>
        </w:rPr>
        <w:t xml:space="preserve"> </w:t>
      </w:r>
      <w:r w:rsidRPr="00B51D1F">
        <w:rPr>
          <w:rFonts w:ascii="Arial" w:hAnsi="Arial" w:cs="Arial"/>
          <w:i/>
          <w:iCs/>
          <w:color w:val="000000"/>
          <w:sz w:val="18"/>
          <w:szCs w:val="18"/>
        </w:rPr>
        <w:t xml:space="preserve">American Gas Association. All Rights Reserved. </w:t>
      </w:r>
      <w:hyperlink r:id="rId32" w:history="1">
        <w:r w:rsidRPr="00B51D1F">
          <w:rPr>
            <w:rStyle w:val="Hyperlink"/>
            <w:rFonts w:ascii="Arial" w:hAnsi="Arial" w:cs="Arial"/>
            <w:i/>
            <w:iCs/>
            <w:sz w:val="18"/>
            <w:szCs w:val="18"/>
          </w:rPr>
          <w:t>www.aga.org</w:t>
        </w:r>
      </w:hyperlink>
    </w:p>
    <w:sectPr w:rsidR="00DB1A39" w:rsidRPr="00B51D1F">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555AE" w14:textId="77777777" w:rsidR="00F103A3" w:rsidRDefault="00F103A3" w:rsidP="00DE7014">
      <w:pPr>
        <w:spacing w:after="0" w:line="240" w:lineRule="auto"/>
      </w:pPr>
      <w:r>
        <w:separator/>
      </w:r>
    </w:p>
  </w:endnote>
  <w:endnote w:type="continuationSeparator" w:id="0">
    <w:p w14:paraId="62CB942F" w14:textId="77777777" w:rsidR="00F103A3" w:rsidRDefault="00F103A3" w:rsidP="00DE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937707"/>
      <w:docPartObj>
        <w:docPartGallery w:val="Page Numbers (Bottom of Page)"/>
        <w:docPartUnique/>
      </w:docPartObj>
    </w:sdtPr>
    <w:sdtEndPr>
      <w:rPr>
        <w:noProof/>
      </w:rPr>
    </w:sdtEndPr>
    <w:sdtContent>
      <w:p w14:paraId="1B02CE8D" w14:textId="77777777" w:rsidR="00F103A3" w:rsidRDefault="00F103A3">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55BABEEE" w14:textId="77777777" w:rsidR="00F103A3" w:rsidRDefault="00F10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EC37E" w14:textId="77777777" w:rsidR="00F103A3" w:rsidRDefault="00F103A3" w:rsidP="00DE7014">
      <w:pPr>
        <w:spacing w:after="0" w:line="240" w:lineRule="auto"/>
      </w:pPr>
      <w:r>
        <w:separator/>
      </w:r>
    </w:p>
  </w:footnote>
  <w:footnote w:type="continuationSeparator" w:id="0">
    <w:p w14:paraId="38F9FE20" w14:textId="77777777" w:rsidR="00F103A3" w:rsidRDefault="00F103A3" w:rsidP="00DE7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57396" w14:textId="77777777" w:rsidR="00F103A3" w:rsidRDefault="00F103A3">
    <w:pPr>
      <w:pStyle w:val="Header"/>
    </w:pPr>
    <w:r>
      <w:rPr>
        <w:noProof/>
      </w:rPr>
      <mc:AlternateContent>
        <mc:Choice Requires="wps">
          <w:drawing>
            <wp:anchor distT="0" distB="0" distL="114300" distR="114300" simplePos="0" relativeHeight="251661312" behindDoc="0" locked="0" layoutInCell="1" allowOverlap="1" wp14:anchorId="6833FFEA" wp14:editId="2DEDB556">
              <wp:simplePos x="0" y="0"/>
              <wp:positionH relativeFrom="column">
                <wp:posOffset>-533400</wp:posOffset>
              </wp:positionH>
              <wp:positionV relativeFrom="paragraph">
                <wp:posOffset>0</wp:posOffset>
              </wp:positionV>
              <wp:extent cx="6858000" cy="8667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8667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296A3B3" w14:textId="77777777" w:rsidR="00F103A3" w:rsidRPr="006C3E85" w:rsidRDefault="00F103A3" w:rsidP="006C3E85">
                          <w:pPr>
                            <w:rPr>
                              <w:rFonts w:ascii="Arial" w:hAnsi="Arial"/>
                              <w:b/>
                              <w:color w:val="FFFFFF" w:themeColor="background1"/>
                              <w:sz w:val="20"/>
                              <w:szCs w:val="20"/>
                            </w:rPr>
                          </w:pPr>
                          <w:r>
                            <w:rPr>
                              <w:rFonts w:ascii="Arial" w:hAnsi="Arial"/>
                              <w:b/>
                              <w:color w:val="FFFFFF" w:themeColor="background1"/>
                              <w:sz w:val="20"/>
                              <w:szCs w:val="20"/>
                            </w:rPr>
                            <w:t>October 1 through December 31, 2019</w:t>
                          </w:r>
                        </w:p>
                        <w:p w14:paraId="5812C751" w14:textId="77777777" w:rsidR="00F103A3" w:rsidRPr="004D11A5" w:rsidRDefault="00F103A3" w:rsidP="006C3E85">
                          <w:pPr>
                            <w:rPr>
                              <w:rFonts w:ascii="Arial" w:hAnsi="Arial"/>
                              <w:b/>
                              <w:color w:val="A7D036"/>
                              <w:sz w:val="56"/>
                              <w:szCs w:val="56"/>
                            </w:rPr>
                          </w:pPr>
                          <w:r>
                            <w:rPr>
                              <w:rFonts w:ascii="Arial" w:hAnsi="Arial"/>
                              <w:b/>
                              <w:color w:val="A7D036"/>
                              <w:sz w:val="56"/>
                              <w:szCs w:val="56"/>
                            </w:rPr>
                            <w:t>Rate &amp; Regulatory Update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33FFEA" id="_x0000_t202" coordsize="21600,21600" o:spt="202" path="m,l,21600r21600,l21600,xe">
              <v:stroke joinstyle="miter"/>
              <v:path gradientshapeok="t" o:connecttype="rect"/>
            </v:shapetype>
            <v:shape id="Text Box 5" o:spid="_x0000_s1026" type="#_x0000_t202" style="position:absolute;margin-left:-42pt;margin-top:0;width:540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" filled="f" stroked="f">
              <v:textbox>
                <w:txbxContent>
                  <w:p w14:paraId="3296A3B3" w14:textId="77777777" w:rsidR="00F103A3" w:rsidRPr="006C3E85" w:rsidRDefault="00F103A3" w:rsidP="006C3E85">
                    <w:pPr>
                      <w:rPr>
                        <w:rFonts w:ascii="Arial" w:hAnsi="Arial"/>
                        <w:b/>
                        <w:color w:val="FFFFFF" w:themeColor="background1"/>
                        <w:sz w:val="20"/>
                        <w:szCs w:val="20"/>
                      </w:rPr>
                    </w:pPr>
                    <w:r>
                      <w:rPr>
                        <w:rFonts w:ascii="Arial" w:hAnsi="Arial"/>
                        <w:b/>
                        <w:color w:val="FFFFFF" w:themeColor="background1"/>
                        <w:sz w:val="20"/>
                        <w:szCs w:val="20"/>
                      </w:rPr>
                      <w:t>October 1 through December 31, 2019</w:t>
                    </w:r>
                  </w:p>
                  <w:p w14:paraId="5812C751" w14:textId="77777777" w:rsidR="00F103A3" w:rsidRPr="004D11A5" w:rsidRDefault="00F103A3" w:rsidP="006C3E85">
                    <w:pPr>
                      <w:rPr>
                        <w:rFonts w:ascii="Arial" w:hAnsi="Arial"/>
                        <w:b/>
                        <w:color w:val="A7D036"/>
                        <w:sz w:val="56"/>
                        <w:szCs w:val="56"/>
                      </w:rPr>
                    </w:pPr>
                    <w:r>
                      <w:rPr>
                        <w:rFonts w:ascii="Arial" w:hAnsi="Arial"/>
                        <w:b/>
                        <w:color w:val="A7D036"/>
                        <w:sz w:val="56"/>
                        <w:szCs w:val="56"/>
                      </w:rPr>
                      <w:t>Rate &amp; Regulatory Update</w:t>
                    </w:r>
                  </w:p>
                </w:txbxContent>
              </v:textbox>
            </v:shape>
          </w:pict>
        </mc:Fallback>
      </mc:AlternateContent>
    </w:r>
    <w:r w:rsidRPr="00DE7014">
      <w:rPr>
        <w:rFonts w:ascii="Calibri" w:eastAsia="Times New Roman" w:hAnsi="Calibri" w:cs="Times New Roman" w:hint="eastAsia"/>
        <w:noProof/>
        <w:szCs w:val="24"/>
      </w:rPr>
      <w:drawing>
        <wp:anchor distT="0" distB="0" distL="114300" distR="114300" simplePos="0" relativeHeight="251659264" behindDoc="0" locked="0" layoutInCell="1" allowOverlap="1" wp14:anchorId="13526B5A" wp14:editId="5BED1DA1">
          <wp:simplePos x="0" y="0"/>
          <wp:positionH relativeFrom="page">
            <wp:align>right</wp:align>
          </wp:positionH>
          <wp:positionV relativeFrom="page">
            <wp:align>top</wp:align>
          </wp:positionV>
          <wp:extent cx="7771130" cy="1536700"/>
          <wp:effectExtent l="0" t="0" r="127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A E Header Art.jpg"/>
                  <pic:cNvPicPr/>
                </pic:nvPicPr>
                <pic:blipFill rotWithShape="1">
                  <a:blip r:embed="rId1" cstate="print">
                    <a:extLst>
                      <a:ext uri="{28A0092B-C50C-407E-A947-70E740481C1C}">
                        <a14:useLocalDpi xmlns:a14="http://schemas.microsoft.com/office/drawing/2010/main" val="0"/>
                      </a:ext>
                    </a:extLst>
                  </a:blip>
                  <a:srcRect b="36815"/>
                  <a:stretch/>
                </pic:blipFill>
                <pic:spPr bwMode="auto">
                  <a:xfrm>
                    <a:off x="0" y="0"/>
                    <a:ext cx="7771130" cy="15367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778D"/>
    <w:multiLevelType w:val="hybridMultilevel"/>
    <w:tmpl w:val="3C54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96AA0"/>
    <w:multiLevelType w:val="hybridMultilevel"/>
    <w:tmpl w:val="7080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2013F"/>
    <w:multiLevelType w:val="hybridMultilevel"/>
    <w:tmpl w:val="36C0E3A6"/>
    <w:lvl w:ilvl="0" w:tplc="5470E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62FA7"/>
    <w:multiLevelType w:val="hybridMultilevel"/>
    <w:tmpl w:val="64BC20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039D9"/>
    <w:multiLevelType w:val="hybridMultilevel"/>
    <w:tmpl w:val="7FFEB48E"/>
    <w:lvl w:ilvl="0" w:tplc="D7E87C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95A1A"/>
    <w:multiLevelType w:val="hybridMultilevel"/>
    <w:tmpl w:val="EC30B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A33D1"/>
    <w:multiLevelType w:val="hybridMultilevel"/>
    <w:tmpl w:val="A6966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61198"/>
    <w:multiLevelType w:val="hybridMultilevel"/>
    <w:tmpl w:val="5A5C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9384B"/>
    <w:multiLevelType w:val="hybridMultilevel"/>
    <w:tmpl w:val="E0E8D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FA57C6"/>
    <w:multiLevelType w:val="hybridMultilevel"/>
    <w:tmpl w:val="6BB6B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31F86"/>
    <w:multiLevelType w:val="hybridMultilevel"/>
    <w:tmpl w:val="AF68B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4C6FBB"/>
    <w:multiLevelType w:val="hybridMultilevel"/>
    <w:tmpl w:val="2EAE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761B61"/>
    <w:multiLevelType w:val="hybridMultilevel"/>
    <w:tmpl w:val="0DCE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5D3588"/>
    <w:multiLevelType w:val="hybridMultilevel"/>
    <w:tmpl w:val="CE16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CC2F47"/>
    <w:multiLevelType w:val="hybridMultilevel"/>
    <w:tmpl w:val="F0C2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844DD"/>
    <w:multiLevelType w:val="hybridMultilevel"/>
    <w:tmpl w:val="0B9E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340724"/>
    <w:multiLevelType w:val="hybridMultilevel"/>
    <w:tmpl w:val="38D2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A6254"/>
    <w:multiLevelType w:val="hybridMultilevel"/>
    <w:tmpl w:val="F296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3B66DF"/>
    <w:multiLevelType w:val="hybridMultilevel"/>
    <w:tmpl w:val="518849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ED73B5"/>
    <w:multiLevelType w:val="hybridMultilevel"/>
    <w:tmpl w:val="849A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0073F7"/>
    <w:multiLevelType w:val="hybridMultilevel"/>
    <w:tmpl w:val="40E4B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3"/>
  </w:num>
  <w:num w:numId="4">
    <w:abstractNumId w:val="19"/>
  </w:num>
  <w:num w:numId="5">
    <w:abstractNumId w:val="16"/>
  </w:num>
  <w:num w:numId="6">
    <w:abstractNumId w:val="5"/>
  </w:num>
  <w:num w:numId="7">
    <w:abstractNumId w:val="15"/>
  </w:num>
  <w:num w:numId="8">
    <w:abstractNumId w:val="0"/>
  </w:num>
  <w:num w:numId="9">
    <w:abstractNumId w:val="10"/>
  </w:num>
  <w:num w:numId="10">
    <w:abstractNumId w:val="18"/>
  </w:num>
  <w:num w:numId="11">
    <w:abstractNumId w:val="7"/>
  </w:num>
  <w:num w:numId="12">
    <w:abstractNumId w:val="20"/>
  </w:num>
  <w:num w:numId="13">
    <w:abstractNumId w:val="2"/>
  </w:num>
  <w:num w:numId="14">
    <w:abstractNumId w:val="11"/>
  </w:num>
  <w:num w:numId="15">
    <w:abstractNumId w:val="14"/>
  </w:num>
  <w:num w:numId="16">
    <w:abstractNumId w:val="17"/>
  </w:num>
  <w:num w:numId="17">
    <w:abstractNumId w:val="1"/>
  </w:num>
  <w:num w:numId="18">
    <w:abstractNumId w:val="12"/>
  </w:num>
  <w:num w:numId="19">
    <w:abstractNumId w:val="9"/>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E26"/>
    <w:rsid w:val="0000016B"/>
    <w:rsid w:val="0000069D"/>
    <w:rsid w:val="00000717"/>
    <w:rsid w:val="00003004"/>
    <w:rsid w:val="000042AD"/>
    <w:rsid w:val="00005816"/>
    <w:rsid w:val="000064CB"/>
    <w:rsid w:val="00007856"/>
    <w:rsid w:val="00012F7E"/>
    <w:rsid w:val="0001500C"/>
    <w:rsid w:val="00015130"/>
    <w:rsid w:val="0001526D"/>
    <w:rsid w:val="00015860"/>
    <w:rsid w:val="00015C47"/>
    <w:rsid w:val="00016F42"/>
    <w:rsid w:val="000171AA"/>
    <w:rsid w:val="00017ABD"/>
    <w:rsid w:val="00017AEE"/>
    <w:rsid w:val="00017DBA"/>
    <w:rsid w:val="0002025B"/>
    <w:rsid w:val="00021C00"/>
    <w:rsid w:val="000229CD"/>
    <w:rsid w:val="0002613F"/>
    <w:rsid w:val="00026D35"/>
    <w:rsid w:val="00026DF4"/>
    <w:rsid w:val="00026F05"/>
    <w:rsid w:val="00026FE2"/>
    <w:rsid w:val="00031445"/>
    <w:rsid w:val="00031A98"/>
    <w:rsid w:val="00032FB5"/>
    <w:rsid w:val="00033B34"/>
    <w:rsid w:val="00033C66"/>
    <w:rsid w:val="00034F1B"/>
    <w:rsid w:val="000356D2"/>
    <w:rsid w:val="000377CE"/>
    <w:rsid w:val="00041FBC"/>
    <w:rsid w:val="0004230B"/>
    <w:rsid w:val="0004288F"/>
    <w:rsid w:val="00044561"/>
    <w:rsid w:val="00044D74"/>
    <w:rsid w:val="000450AC"/>
    <w:rsid w:val="0004674C"/>
    <w:rsid w:val="00050DF9"/>
    <w:rsid w:val="0005176A"/>
    <w:rsid w:val="0005197B"/>
    <w:rsid w:val="00055B13"/>
    <w:rsid w:val="000602A6"/>
    <w:rsid w:val="00063A04"/>
    <w:rsid w:val="00066A25"/>
    <w:rsid w:val="00066CAD"/>
    <w:rsid w:val="000674C4"/>
    <w:rsid w:val="000675B9"/>
    <w:rsid w:val="00067D07"/>
    <w:rsid w:val="0007184F"/>
    <w:rsid w:val="00071E9F"/>
    <w:rsid w:val="00072598"/>
    <w:rsid w:val="00073194"/>
    <w:rsid w:val="00073E8E"/>
    <w:rsid w:val="00074D2B"/>
    <w:rsid w:val="00077223"/>
    <w:rsid w:val="00077269"/>
    <w:rsid w:val="00077563"/>
    <w:rsid w:val="000819E3"/>
    <w:rsid w:val="00081D8F"/>
    <w:rsid w:val="0008299A"/>
    <w:rsid w:val="000856C3"/>
    <w:rsid w:val="000863E3"/>
    <w:rsid w:val="0008690E"/>
    <w:rsid w:val="000902D3"/>
    <w:rsid w:val="00093D5E"/>
    <w:rsid w:val="00093E39"/>
    <w:rsid w:val="00094788"/>
    <w:rsid w:val="00096A19"/>
    <w:rsid w:val="00096B19"/>
    <w:rsid w:val="00096DC6"/>
    <w:rsid w:val="000A0FA6"/>
    <w:rsid w:val="000A45D8"/>
    <w:rsid w:val="000A5AE3"/>
    <w:rsid w:val="000A61AA"/>
    <w:rsid w:val="000A64B4"/>
    <w:rsid w:val="000A662C"/>
    <w:rsid w:val="000A69D1"/>
    <w:rsid w:val="000B148C"/>
    <w:rsid w:val="000B1DDD"/>
    <w:rsid w:val="000B2FB9"/>
    <w:rsid w:val="000B2FD0"/>
    <w:rsid w:val="000B4696"/>
    <w:rsid w:val="000B5134"/>
    <w:rsid w:val="000B7754"/>
    <w:rsid w:val="000C04F6"/>
    <w:rsid w:val="000C1B88"/>
    <w:rsid w:val="000C4C4C"/>
    <w:rsid w:val="000C5A0C"/>
    <w:rsid w:val="000C5B01"/>
    <w:rsid w:val="000C6D2B"/>
    <w:rsid w:val="000C70F8"/>
    <w:rsid w:val="000D0064"/>
    <w:rsid w:val="000D0323"/>
    <w:rsid w:val="000D1256"/>
    <w:rsid w:val="000D27A9"/>
    <w:rsid w:val="000D5A65"/>
    <w:rsid w:val="000D68DD"/>
    <w:rsid w:val="000E0561"/>
    <w:rsid w:val="000E0C15"/>
    <w:rsid w:val="000E37C9"/>
    <w:rsid w:val="000E3F12"/>
    <w:rsid w:val="000E4F5C"/>
    <w:rsid w:val="000E533E"/>
    <w:rsid w:val="000E5705"/>
    <w:rsid w:val="000E667C"/>
    <w:rsid w:val="000F0E57"/>
    <w:rsid w:val="000F37F7"/>
    <w:rsid w:val="000F39C8"/>
    <w:rsid w:val="000F4F34"/>
    <w:rsid w:val="000F6527"/>
    <w:rsid w:val="000F6948"/>
    <w:rsid w:val="000F695E"/>
    <w:rsid w:val="000F6D29"/>
    <w:rsid w:val="000F6EA9"/>
    <w:rsid w:val="000F769A"/>
    <w:rsid w:val="001006B7"/>
    <w:rsid w:val="00102AC2"/>
    <w:rsid w:val="001038A2"/>
    <w:rsid w:val="00104C00"/>
    <w:rsid w:val="00105C45"/>
    <w:rsid w:val="0010692B"/>
    <w:rsid w:val="00106FA5"/>
    <w:rsid w:val="0010764C"/>
    <w:rsid w:val="00110C84"/>
    <w:rsid w:val="00111497"/>
    <w:rsid w:val="00111565"/>
    <w:rsid w:val="00111BCA"/>
    <w:rsid w:val="00113F5D"/>
    <w:rsid w:val="00114DE2"/>
    <w:rsid w:val="00115F59"/>
    <w:rsid w:val="00117B42"/>
    <w:rsid w:val="00117D4F"/>
    <w:rsid w:val="00120521"/>
    <w:rsid w:val="00120FA9"/>
    <w:rsid w:val="00122E79"/>
    <w:rsid w:val="0012304D"/>
    <w:rsid w:val="00123801"/>
    <w:rsid w:val="00123E8D"/>
    <w:rsid w:val="001242A8"/>
    <w:rsid w:val="001248C9"/>
    <w:rsid w:val="00125AE9"/>
    <w:rsid w:val="00125BA0"/>
    <w:rsid w:val="0012674F"/>
    <w:rsid w:val="00127CCF"/>
    <w:rsid w:val="00130488"/>
    <w:rsid w:val="00130BC0"/>
    <w:rsid w:val="001312F4"/>
    <w:rsid w:val="00133ECD"/>
    <w:rsid w:val="00135DD0"/>
    <w:rsid w:val="00142B10"/>
    <w:rsid w:val="00142C39"/>
    <w:rsid w:val="00145DEA"/>
    <w:rsid w:val="001470F3"/>
    <w:rsid w:val="00151395"/>
    <w:rsid w:val="00151624"/>
    <w:rsid w:val="00151A37"/>
    <w:rsid w:val="00151CCC"/>
    <w:rsid w:val="00155A1B"/>
    <w:rsid w:val="0015666B"/>
    <w:rsid w:val="00161425"/>
    <w:rsid w:val="001625A7"/>
    <w:rsid w:val="0016358C"/>
    <w:rsid w:val="00163CDD"/>
    <w:rsid w:val="001640E3"/>
    <w:rsid w:val="00164F18"/>
    <w:rsid w:val="00166CC2"/>
    <w:rsid w:val="001671AB"/>
    <w:rsid w:val="00167CE2"/>
    <w:rsid w:val="001722BF"/>
    <w:rsid w:val="001729FB"/>
    <w:rsid w:val="00174188"/>
    <w:rsid w:val="00174FBE"/>
    <w:rsid w:val="0017589F"/>
    <w:rsid w:val="001759B7"/>
    <w:rsid w:val="001762A3"/>
    <w:rsid w:val="00177CBF"/>
    <w:rsid w:val="001801B3"/>
    <w:rsid w:val="001809F8"/>
    <w:rsid w:val="00180E78"/>
    <w:rsid w:val="001810C6"/>
    <w:rsid w:val="001813F3"/>
    <w:rsid w:val="00183DBB"/>
    <w:rsid w:val="001841F9"/>
    <w:rsid w:val="00184B7C"/>
    <w:rsid w:val="0018711C"/>
    <w:rsid w:val="001921B6"/>
    <w:rsid w:val="001930FC"/>
    <w:rsid w:val="001940C6"/>
    <w:rsid w:val="00196D00"/>
    <w:rsid w:val="001A0155"/>
    <w:rsid w:val="001A0774"/>
    <w:rsid w:val="001A15E9"/>
    <w:rsid w:val="001A2013"/>
    <w:rsid w:val="001A22FE"/>
    <w:rsid w:val="001A2D43"/>
    <w:rsid w:val="001A460E"/>
    <w:rsid w:val="001A6B3C"/>
    <w:rsid w:val="001B0330"/>
    <w:rsid w:val="001B03FD"/>
    <w:rsid w:val="001B1F30"/>
    <w:rsid w:val="001B296E"/>
    <w:rsid w:val="001B56D0"/>
    <w:rsid w:val="001B5775"/>
    <w:rsid w:val="001C0673"/>
    <w:rsid w:val="001C1C21"/>
    <w:rsid w:val="001C536A"/>
    <w:rsid w:val="001C6A4D"/>
    <w:rsid w:val="001C7878"/>
    <w:rsid w:val="001D1C5E"/>
    <w:rsid w:val="001D2F3B"/>
    <w:rsid w:val="001D538C"/>
    <w:rsid w:val="001D5A9D"/>
    <w:rsid w:val="001D67BB"/>
    <w:rsid w:val="001D7178"/>
    <w:rsid w:val="001D7BC4"/>
    <w:rsid w:val="001E0486"/>
    <w:rsid w:val="001E3FF0"/>
    <w:rsid w:val="001E48AC"/>
    <w:rsid w:val="001E55EF"/>
    <w:rsid w:val="001E6CD9"/>
    <w:rsid w:val="001E6FB5"/>
    <w:rsid w:val="001F0DF2"/>
    <w:rsid w:val="001F3022"/>
    <w:rsid w:val="001F319B"/>
    <w:rsid w:val="001F3588"/>
    <w:rsid w:val="001F3A23"/>
    <w:rsid w:val="001F5597"/>
    <w:rsid w:val="001F5E4A"/>
    <w:rsid w:val="001F5E59"/>
    <w:rsid w:val="001F757D"/>
    <w:rsid w:val="00201F4B"/>
    <w:rsid w:val="00202021"/>
    <w:rsid w:val="00202980"/>
    <w:rsid w:val="0020524F"/>
    <w:rsid w:val="0020767D"/>
    <w:rsid w:val="002112EC"/>
    <w:rsid w:val="00211CC1"/>
    <w:rsid w:val="00211F72"/>
    <w:rsid w:val="002159D0"/>
    <w:rsid w:val="00216501"/>
    <w:rsid w:val="002224A3"/>
    <w:rsid w:val="00222C53"/>
    <w:rsid w:val="0022311B"/>
    <w:rsid w:val="0022457A"/>
    <w:rsid w:val="00224C4B"/>
    <w:rsid w:val="0022628B"/>
    <w:rsid w:val="00227288"/>
    <w:rsid w:val="002304F2"/>
    <w:rsid w:val="00231330"/>
    <w:rsid w:val="002317FF"/>
    <w:rsid w:val="00231F4A"/>
    <w:rsid w:val="00234A15"/>
    <w:rsid w:val="00235C5F"/>
    <w:rsid w:val="002375EB"/>
    <w:rsid w:val="00237D37"/>
    <w:rsid w:val="00242A08"/>
    <w:rsid w:val="00242B67"/>
    <w:rsid w:val="002434B9"/>
    <w:rsid w:val="00244BAD"/>
    <w:rsid w:val="00244C3A"/>
    <w:rsid w:val="0024712B"/>
    <w:rsid w:val="0024763A"/>
    <w:rsid w:val="00250703"/>
    <w:rsid w:val="00250761"/>
    <w:rsid w:val="002509AE"/>
    <w:rsid w:val="00251C40"/>
    <w:rsid w:val="002524FF"/>
    <w:rsid w:val="00253542"/>
    <w:rsid w:val="002552DD"/>
    <w:rsid w:val="00260E27"/>
    <w:rsid w:val="00261139"/>
    <w:rsid w:val="0026201B"/>
    <w:rsid w:val="002628A6"/>
    <w:rsid w:val="00262EA6"/>
    <w:rsid w:val="00262F0C"/>
    <w:rsid w:val="00263E51"/>
    <w:rsid w:val="002640CD"/>
    <w:rsid w:val="002652E0"/>
    <w:rsid w:val="00265947"/>
    <w:rsid w:val="00267AC1"/>
    <w:rsid w:val="00271CDA"/>
    <w:rsid w:val="002727D5"/>
    <w:rsid w:val="00275B3D"/>
    <w:rsid w:val="00275C35"/>
    <w:rsid w:val="002773F4"/>
    <w:rsid w:val="00283CAD"/>
    <w:rsid w:val="002863E3"/>
    <w:rsid w:val="002877B7"/>
    <w:rsid w:val="00287D93"/>
    <w:rsid w:val="0029041E"/>
    <w:rsid w:val="0029064B"/>
    <w:rsid w:val="002920B0"/>
    <w:rsid w:val="00292C33"/>
    <w:rsid w:val="00292D5A"/>
    <w:rsid w:val="002936B3"/>
    <w:rsid w:val="00294C69"/>
    <w:rsid w:val="002959AC"/>
    <w:rsid w:val="00295FE1"/>
    <w:rsid w:val="002970CA"/>
    <w:rsid w:val="002A0039"/>
    <w:rsid w:val="002A0716"/>
    <w:rsid w:val="002A162A"/>
    <w:rsid w:val="002A1A53"/>
    <w:rsid w:val="002A1C65"/>
    <w:rsid w:val="002A2773"/>
    <w:rsid w:val="002A4847"/>
    <w:rsid w:val="002B0F23"/>
    <w:rsid w:val="002B1781"/>
    <w:rsid w:val="002B206B"/>
    <w:rsid w:val="002B3649"/>
    <w:rsid w:val="002B4DA3"/>
    <w:rsid w:val="002B5C2C"/>
    <w:rsid w:val="002B63B9"/>
    <w:rsid w:val="002B6AC3"/>
    <w:rsid w:val="002B7AE6"/>
    <w:rsid w:val="002C007A"/>
    <w:rsid w:val="002C41A8"/>
    <w:rsid w:val="002C4502"/>
    <w:rsid w:val="002C544E"/>
    <w:rsid w:val="002C670A"/>
    <w:rsid w:val="002C6A83"/>
    <w:rsid w:val="002C7C26"/>
    <w:rsid w:val="002D4719"/>
    <w:rsid w:val="002D5DD3"/>
    <w:rsid w:val="002D6763"/>
    <w:rsid w:val="002D6B18"/>
    <w:rsid w:val="002E24BE"/>
    <w:rsid w:val="002E30B9"/>
    <w:rsid w:val="002E4368"/>
    <w:rsid w:val="002E4A5C"/>
    <w:rsid w:val="002E4DCC"/>
    <w:rsid w:val="002E5982"/>
    <w:rsid w:val="002E72BF"/>
    <w:rsid w:val="002E7796"/>
    <w:rsid w:val="002F1215"/>
    <w:rsid w:val="002F68F9"/>
    <w:rsid w:val="002F74D0"/>
    <w:rsid w:val="00300500"/>
    <w:rsid w:val="00302B49"/>
    <w:rsid w:val="00302EA4"/>
    <w:rsid w:val="003032C7"/>
    <w:rsid w:val="00303AE0"/>
    <w:rsid w:val="00303F6A"/>
    <w:rsid w:val="00304256"/>
    <w:rsid w:val="0030668B"/>
    <w:rsid w:val="00306EF7"/>
    <w:rsid w:val="00307441"/>
    <w:rsid w:val="00307B41"/>
    <w:rsid w:val="003108B0"/>
    <w:rsid w:val="003128DC"/>
    <w:rsid w:val="00312A88"/>
    <w:rsid w:val="00314BD3"/>
    <w:rsid w:val="003153D5"/>
    <w:rsid w:val="0031564C"/>
    <w:rsid w:val="00317128"/>
    <w:rsid w:val="003178A0"/>
    <w:rsid w:val="003214B8"/>
    <w:rsid w:val="003242BD"/>
    <w:rsid w:val="0032574D"/>
    <w:rsid w:val="00326CDB"/>
    <w:rsid w:val="003271AD"/>
    <w:rsid w:val="003307F2"/>
    <w:rsid w:val="0033279C"/>
    <w:rsid w:val="00332C1D"/>
    <w:rsid w:val="00335320"/>
    <w:rsid w:val="00337A99"/>
    <w:rsid w:val="00341FAD"/>
    <w:rsid w:val="0034313E"/>
    <w:rsid w:val="003438F1"/>
    <w:rsid w:val="00344435"/>
    <w:rsid w:val="00346CAB"/>
    <w:rsid w:val="0034706E"/>
    <w:rsid w:val="003477D8"/>
    <w:rsid w:val="0035070B"/>
    <w:rsid w:val="003514DE"/>
    <w:rsid w:val="003563AD"/>
    <w:rsid w:val="0035769E"/>
    <w:rsid w:val="00357BA2"/>
    <w:rsid w:val="00360016"/>
    <w:rsid w:val="0036092D"/>
    <w:rsid w:val="003632FA"/>
    <w:rsid w:val="00364576"/>
    <w:rsid w:val="00364C77"/>
    <w:rsid w:val="00370652"/>
    <w:rsid w:val="00372587"/>
    <w:rsid w:val="00376064"/>
    <w:rsid w:val="00380518"/>
    <w:rsid w:val="00380674"/>
    <w:rsid w:val="00381019"/>
    <w:rsid w:val="0038162A"/>
    <w:rsid w:val="00381661"/>
    <w:rsid w:val="003818D8"/>
    <w:rsid w:val="00382613"/>
    <w:rsid w:val="003841AD"/>
    <w:rsid w:val="00384D29"/>
    <w:rsid w:val="00385421"/>
    <w:rsid w:val="0038747D"/>
    <w:rsid w:val="0039192A"/>
    <w:rsid w:val="00391A7A"/>
    <w:rsid w:val="00392044"/>
    <w:rsid w:val="0039207F"/>
    <w:rsid w:val="00395B7E"/>
    <w:rsid w:val="003962B9"/>
    <w:rsid w:val="003970EE"/>
    <w:rsid w:val="003A0B49"/>
    <w:rsid w:val="003A1E1B"/>
    <w:rsid w:val="003A29D7"/>
    <w:rsid w:val="003A7771"/>
    <w:rsid w:val="003B114D"/>
    <w:rsid w:val="003B3940"/>
    <w:rsid w:val="003B4002"/>
    <w:rsid w:val="003B451E"/>
    <w:rsid w:val="003B4F7B"/>
    <w:rsid w:val="003B653F"/>
    <w:rsid w:val="003B7EC8"/>
    <w:rsid w:val="003C079C"/>
    <w:rsid w:val="003C08B0"/>
    <w:rsid w:val="003C0C15"/>
    <w:rsid w:val="003C0C23"/>
    <w:rsid w:val="003C1EA7"/>
    <w:rsid w:val="003C3975"/>
    <w:rsid w:val="003C3B2F"/>
    <w:rsid w:val="003C3BC5"/>
    <w:rsid w:val="003C43C8"/>
    <w:rsid w:val="003C6AD3"/>
    <w:rsid w:val="003D231E"/>
    <w:rsid w:val="003D3465"/>
    <w:rsid w:val="003D3D70"/>
    <w:rsid w:val="003D425C"/>
    <w:rsid w:val="003D458D"/>
    <w:rsid w:val="003E0A98"/>
    <w:rsid w:val="003E1F66"/>
    <w:rsid w:val="003E6012"/>
    <w:rsid w:val="003E654F"/>
    <w:rsid w:val="003E686B"/>
    <w:rsid w:val="003F15B3"/>
    <w:rsid w:val="003F1C66"/>
    <w:rsid w:val="003F2A5E"/>
    <w:rsid w:val="003F3F02"/>
    <w:rsid w:val="003F40CF"/>
    <w:rsid w:val="003F7DA5"/>
    <w:rsid w:val="003F7F7D"/>
    <w:rsid w:val="004005F1"/>
    <w:rsid w:val="00400E4C"/>
    <w:rsid w:val="004014FA"/>
    <w:rsid w:val="00404E77"/>
    <w:rsid w:val="004065D9"/>
    <w:rsid w:val="004104B4"/>
    <w:rsid w:val="00410D44"/>
    <w:rsid w:val="00413A49"/>
    <w:rsid w:val="00416BC2"/>
    <w:rsid w:val="00417182"/>
    <w:rsid w:val="00417877"/>
    <w:rsid w:val="004204B6"/>
    <w:rsid w:val="0042062F"/>
    <w:rsid w:val="004233C3"/>
    <w:rsid w:val="00424E5D"/>
    <w:rsid w:val="00425748"/>
    <w:rsid w:val="00425F53"/>
    <w:rsid w:val="004262A4"/>
    <w:rsid w:val="00426DBE"/>
    <w:rsid w:val="00432213"/>
    <w:rsid w:val="00433C6D"/>
    <w:rsid w:val="00434060"/>
    <w:rsid w:val="00434D57"/>
    <w:rsid w:val="00436B44"/>
    <w:rsid w:val="00437552"/>
    <w:rsid w:val="00437833"/>
    <w:rsid w:val="00441218"/>
    <w:rsid w:val="004422BE"/>
    <w:rsid w:val="00442D21"/>
    <w:rsid w:val="00442ECA"/>
    <w:rsid w:val="00444648"/>
    <w:rsid w:val="00445633"/>
    <w:rsid w:val="00446AA5"/>
    <w:rsid w:val="00446F1C"/>
    <w:rsid w:val="0044732D"/>
    <w:rsid w:val="004474D7"/>
    <w:rsid w:val="004509D9"/>
    <w:rsid w:val="004513B6"/>
    <w:rsid w:val="0045161B"/>
    <w:rsid w:val="0045220A"/>
    <w:rsid w:val="00452307"/>
    <w:rsid w:val="00452F3F"/>
    <w:rsid w:val="00453A5B"/>
    <w:rsid w:val="00453D76"/>
    <w:rsid w:val="00455831"/>
    <w:rsid w:val="00456231"/>
    <w:rsid w:val="004568F5"/>
    <w:rsid w:val="004601DC"/>
    <w:rsid w:val="00461A76"/>
    <w:rsid w:val="00461FE5"/>
    <w:rsid w:val="004660A4"/>
    <w:rsid w:val="0047025F"/>
    <w:rsid w:val="0047270A"/>
    <w:rsid w:val="00473B46"/>
    <w:rsid w:val="00481A97"/>
    <w:rsid w:val="00483FBC"/>
    <w:rsid w:val="004850F8"/>
    <w:rsid w:val="004856D3"/>
    <w:rsid w:val="0048578D"/>
    <w:rsid w:val="004859FA"/>
    <w:rsid w:val="00490509"/>
    <w:rsid w:val="0049182D"/>
    <w:rsid w:val="00491B63"/>
    <w:rsid w:val="00493462"/>
    <w:rsid w:val="004939AA"/>
    <w:rsid w:val="00495FF0"/>
    <w:rsid w:val="00496168"/>
    <w:rsid w:val="0049667E"/>
    <w:rsid w:val="00496F46"/>
    <w:rsid w:val="004A1A82"/>
    <w:rsid w:val="004A1B32"/>
    <w:rsid w:val="004A4C05"/>
    <w:rsid w:val="004A577F"/>
    <w:rsid w:val="004A5DD1"/>
    <w:rsid w:val="004B147B"/>
    <w:rsid w:val="004B246E"/>
    <w:rsid w:val="004B2835"/>
    <w:rsid w:val="004B4606"/>
    <w:rsid w:val="004B4858"/>
    <w:rsid w:val="004B5272"/>
    <w:rsid w:val="004B6D46"/>
    <w:rsid w:val="004B7B98"/>
    <w:rsid w:val="004C1106"/>
    <w:rsid w:val="004C2893"/>
    <w:rsid w:val="004C5841"/>
    <w:rsid w:val="004C5EC0"/>
    <w:rsid w:val="004C6F72"/>
    <w:rsid w:val="004C784A"/>
    <w:rsid w:val="004C7A4A"/>
    <w:rsid w:val="004D07E3"/>
    <w:rsid w:val="004D095B"/>
    <w:rsid w:val="004D1C97"/>
    <w:rsid w:val="004D248F"/>
    <w:rsid w:val="004D41B6"/>
    <w:rsid w:val="004D6927"/>
    <w:rsid w:val="004D6C5C"/>
    <w:rsid w:val="004E0147"/>
    <w:rsid w:val="004E0D64"/>
    <w:rsid w:val="004E5D4D"/>
    <w:rsid w:val="004E6703"/>
    <w:rsid w:val="004E73AC"/>
    <w:rsid w:val="004E793E"/>
    <w:rsid w:val="004E7E61"/>
    <w:rsid w:val="004E7F26"/>
    <w:rsid w:val="004F0711"/>
    <w:rsid w:val="004F15A0"/>
    <w:rsid w:val="004F1AE5"/>
    <w:rsid w:val="004F2671"/>
    <w:rsid w:val="004F378B"/>
    <w:rsid w:val="004F3F45"/>
    <w:rsid w:val="004F4F92"/>
    <w:rsid w:val="004F521A"/>
    <w:rsid w:val="005007FA"/>
    <w:rsid w:val="005031E5"/>
    <w:rsid w:val="00505E6E"/>
    <w:rsid w:val="0050635E"/>
    <w:rsid w:val="0050661F"/>
    <w:rsid w:val="00506A73"/>
    <w:rsid w:val="00506EA4"/>
    <w:rsid w:val="005071E3"/>
    <w:rsid w:val="00511730"/>
    <w:rsid w:val="00513417"/>
    <w:rsid w:val="00515C3D"/>
    <w:rsid w:val="0051781D"/>
    <w:rsid w:val="00521A70"/>
    <w:rsid w:val="0052272E"/>
    <w:rsid w:val="005241B2"/>
    <w:rsid w:val="00525F89"/>
    <w:rsid w:val="00526261"/>
    <w:rsid w:val="00533B23"/>
    <w:rsid w:val="005348EC"/>
    <w:rsid w:val="005364C2"/>
    <w:rsid w:val="00536751"/>
    <w:rsid w:val="005416AD"/>
    <w:rsid w:val="00541BB4"/>
    <w:rsid w:val="0054288D"/>
    <w:rsid w:val="00542A9D"/>
    <w:rsid w:val="0054721E"/>
    <w:rsid w:val="005507B1"/>
    <w:rsid w:val="00550C48"/>
    <w:rsid w:val="005516A2"/>
    <w:rsid w:val="00551878"/>
    <w:rsid w:val="00551F51"/>
    <w:rsid w:val="00556764"/>
    <w:rsid w:val="0055711A"/>
    <w:rsid w:val="005575E7"/>
    <w:rsid w:val="00557719"/>
    <w:rsid w:val="00561328"/>
    <w:rsid w:val="00562CB2"/>
    <w:rsid w:val="00567648"/>
    <w:rsid w:val="00570B10"/>
    <w:rsid w:val="00570B89"/>
    <w:rsid w:val="005714C9"/>
    <w:rsid w:val="0057313D"/>
    <w:rsid w:val="00581CB0"/>
    <w:rsid w:val="00582BA3"/>
    <w:rsid w:val="00582F97"/>
    <w:rsid w:val="005834EF"/>
    <w:rsid w:val="00583681"/>
    <w:rsid w:val="00583C36"/>
    <w:rsid w:val="005845E1"/>
    <w:rsid w:val="00584CF9"/>
    <w:rsid w:val="005858C3"/>
    <w:rsid w:val="005860F8"/>
    <w:rsid w:val="005864D0"/>
    <w:rsid w:val="00591F0E"/>
    <w:rsid w:val="005936D6"/>
    <w:rsid w:val="005938F5"/>
    <w:rsid w:val="00593EE7"/>
    <w:rsid w:val="0059496F"/>
    <w:rsid w:val="00595C94"/>
    <w:rsid w:val="00597989"/>
    <w:rsid w:val="005A001E"/>
    <w:rsid w:val="005A13B8"/>
    <w:rsid w:val="005A1819"/>
    <w:rsid w:val="005A189C"/>
    <w:rsid w:val="005A20D4"/>
    <w:rsid w:val="005A2F42"/>
    <w:rsid w:val="005A369D"/>
    <w:rsid w:val="005A3E66"/>
    <w:rsid w:val="005A5BEE"/>
    <w:rsid w:val="005A64B3"/>
    <w:rsid w:val="005A7012"/>
    <w:rsid w:val="005A7A1B"/>
    <w:rsid w:val="005B0C20"/>
    <w:rsid w:val="005B19A6"/>
    <w:rsid w:val="005B1AFF"/>
    <w:rsid w:val="005B1EEF"/>
    <w:rsid w:val="005B2D47"/>
    <w:rsid w:val="005B387C"/>
    <w:rsid w:val="005B426C"/>
    <w:rsid w:val="005B580B"/>
    <w:rsid w:val="005B6043"/>
    <w:rsid w:val="005B6835"/>
    <w:rsid w:val="005B6A3F"/>
    <w:rsid w:val="005B6C4A"/>
    <w:rsid w:val="005B7252"/>
    <w:rsid w:val="005C0D80"/>
    <w:rsid w:val="005C3ABB"/>
    <w:rsid w:val="005C44D6"/>
    <w:rsid w:val="005C46AD"/>
    <w:rsid w:val="005C4C48"/>
    <w:rsid w:val="005C5B1A"/>
    <w:rsid w:val="005C5F70"/>
    <w:rsid w:val="005C6EE4"/>
    <w:rsid w:val="005D095C"/>
    <w:rsid w:val="005D0D81"/>
    <w:rsid w:val="005D1FC8"/>
    <w:rsid w:val="005D2082"/>
    <w:rsid w:val="005D35AF"/>
    <w:rsid w:val="005D37F0"/>
    <w:rsid w:val="005D587E"/>
    <w:rsid w:val="005D5FD6"/>
    <w:rsid w:val="005D76A5"/>
    <w:rsid w:val="005D7F5D"/>
    <w:rsid w:val="005E0835"/>
    <w:rsid w:val="005E0A36"/>
    <w:rsid w:val="005E2C74"/>
    <w:rsid w:val="005E2EDB"/>
    <w:rsid w:val="005E4D0F"/>
    <w:rsid w:val="005E4E3D"/>
    <w:rsid w:val="005E54A3"/>
    <w:rsid w:val="005E5DDE"/>
    <w:rsid w:val="005F1B31"/>
    <w:rsid w:val="005F243C"/>
    <w:rsid w:val="005F39C2"/>
    <w:rsid w:val="005F3DEB"/>
    <w:rsid w:val="005F40B7"/>
    <w:rsid w:val="005F7E63"/>
    <w:rsid w:val="00600E09"/>
    <w:rsid w:val="006023F9"/>
    <w:rsid w:val="006048FC"/>
    <w:rsid w:val="00604D1B"/>
    <w:rsid w:val="00607467"/>
    <w:rsid w:val="00607D28"/>
    <w:rsid w:val="00610E8C"/>
    <w:rsid w:val="0061237E"/>
    <w:rsid w:val="006123A4"/>
    <w:rsid w:val="00613A6B"/>
    <w:rsid w:val="00613EE2"/>
    <w:rsid w:val="00614BEA"/>
    <w:rsid w:val="00614EAA"/>
    <w:rsid w:val="00614F55"/>
    <w:rsid w:val="00615FF3"/>
    <w:rsid w:val="00617D60"/>
    <w:rsid w:val="00621414"/>
    <w:rsid w:val="00621738"/>
    <w:rsid w:val="00622356"/>
    <w:rsid w:val="00622C46"/>
    <w:rsid w:val="00623688"/>
    <w:rsid w:val="00623F96"/>
    <w:rsid w:val="00624120"/>
    <w:rsid w:val="006244ED"/>
    <w:rsid w:val="00627EB0"/>
    <w:rsid w:val="00630785"/>
    <w:rsid w:val="00631B08"/>
    <w:rsid w:val="0063221B"/>
    <w:rsid w:val="00633CBF"/>
    <w:rsid w:val="00634DC8"/>
    <w:rsid w:val="0063501E"/>
    <w:rsid w:val="00636350"/>
    <w:rsid w:val="00636759"/>
    <w:rsid w:val="006369D6"/>
    <w:rsid w:val="00636F99"/>
    <w:rsid w:val="0063731B"/>
    <w:rsid w:val="00640CD6"/>
    <w:rsid w:val="006413D8"/>
    <w:rsid w:val="00642745"/>
    <w:rsid w:val="00644EA0"/>
    <w:rsid w:val="00644F82"/>
    <w:rsid w:val="0064744A"/>
    <w:rsid w:val="00647A0C"/>
    <w:rsid w:val="006501D8"/>
    <w:rsid w:val="006514E3"/>
    <w:rsid w:val="00652DBD"/>
    <w:rsid w:val="00652E09"/>
    <w:rsid w:val="006530D3"/>
    <w:rsid w:val="006531A4"/>
    <w:rsid w:val="00653FF6"/>
    <w:rsid w:val="006540A0"/>
    <w:rsid w:val="0065420D"/>
    <w:rsid w:val="00654B46"/>
    <w:rsid w:val="0065662E"/>
    <w:rsid w:val="00656E02"/>
    <w:rsid w:val="006600FD"/>
    <w:rsid w:val="00660A43"/>
    <w:rsid w:val="00660DA6"/>
    <w:rsid w:val="00662B10"/>
    <w:rsid w:val="00663C02"/>
    <w:rsid w:val="00664F8A"/>
    <w:rsid w:val="0066650B"/>
    <w:rsid w:val="00666E32"/>
    <w:rsid w:val="0067181C"/>
    <w:rsid w:val="00672476"/>
    <w:rsid w:val="00672943"/>
    <w:rsid w:val="00675897"/>
    <w:rsid w:val="00680438"/>
    <w:rsid w:val="0068244A"/>
    <w:rsid w:val="00682EF0"/>
    <w:rsid w:val="00683905"/>
    <w:rsid w:val="00683EDC"/>
    <w:rsid w:val="00684717"/>
    <w:rsid w:val="00686591"/>
    <w:rsid w:val="0068762C"/>
    <w:rsid w:val="00690614"/>
    <w:rsid w:val="00691538"/>
    <w:rsid w:val="00691911"/>
    <w:rsid w:val="00692654"/>
    <w:rsid w:val="00694009"/>
    <w:rsid w:val="006971FE"/>
    <w:rsid w:val="00697541"/>
    <w:rsid w:val="006A0AAB"/>
    <w:rsid w:val="006A0EBD"/>
    <w:rsid w:val="006A20C9"/>
    <w:rsid w:val="006A2127"/>
    <w:rsid w:val="006A307B"/>
    <w:rsid w:val="006A7365"/>
    <w:rsid w:val="006B0973"/>
    <w:rsid w:val="006B1403"/>
    <w:rsid w:val="006B3C58"/>
    <w:rsid w:val="006B3D15"/>
    <w:rsid w:val="006B3F74"/>
    <w:rsid w:val="006B4815"/>
    <w:rsid w:val="006B6F85"/>
    <w:rsid w:val="006B7C60"/>
    <w:rsid w:val="006C0361"/>
    <w:rsid w:val="006C0F04"/>
    <w:rsid w:val="006C339E"/>
    <w:rsid w:val="006C3E3F"/>
    <w:rsid w:val="006C3E85"/>
    <w:rsid w:val="006C408F"/>
    <w:rsid w:val="006C5F71"/>
    <w:rsid w:val="006C7A98"/>
    <w:rsid w:val="006D148F"/>
    <w:rsid w:val="006D1D2A"/>
    <w:rsid w:val="006D40CE"/>
    <w:rsid w:val="006D592F"/>
    <w:rsid w:val="006D5AC0"/>
    <w:rsid w:val="006D686A"/>
    <w:rsid w:val="006D6C41"/>
    <w:rsid w:val="006D6E75"/>
    <w:rsid w:val="006D70AB"/>
    <w:rsid w:val="006D7EC9"/>
    <w:rsid w:val="006E0432"/>
    <w:rsid w:val="006E0746"/>
    <w:rsid w:val="006E15DE"/>
    <w:rsid w:val="006E30EB"/>
    <w:rsid w:val="006E4334"/>
    <w:rsid w:val="006E5868"/>
    <w:rsid w:val="006E656E"/>
    <w:rsid w:val="006E6E1B"/>
    <w:rsid w:val="006F1BB8"/>
    <w:rsid w:val="006F2086"/>
    <w:rsid w:val="006F213E"/>
    <w:rsid w:val="006F28B3"/>
    <w:rsid w:val="006F28DD"/>
    <w:rsid w:val="006F5A20"/>
    <w:rsid w:val="006F5EE8"/>
    <w:rsid w:val="006F7C33"/>
    <w:rsid w:val="006F7D43"/>
    <w:rsid w:val="00700A18"/>
    <w:rsid w:val="00700EF7"/>
    <w:rsid w:val="007019CE"/>
    <w:rsid w:val="00702F3C"/>
    <w:rsid w:val="007068DB"/>
    <w:rsid w:val="007079FD"/>
    <w:rsid w:val="00712677"/>
    <w:rsid w:val="00712D21"/>
    <w:rsid w:val="00713677"/>
    <w:rsid w:val="00713C42"/>
    <w:rsid w:val="00715A60"/>
    <w:rsid w:val="00717086"/>
    <w:rsid w:val="00717B18"/>
    <w:rsid w:val="007200CD"/>
    <w:rsid w:val="007220F6"/>
    <w:rsid w:val="00723B06"/>
    <w:rsid w:val="00723D6A"/>
    <w:rsid w:val="00724727"/>
    <w:rsid w:val="00724A9E"/>
    <w:rsid w:val="007252BE"/>
    <w:rsid w:val="007268C3"/>
    <w:rsid w:val="00730015"/>
    <w:rsid w:val="00731218"/>
    <w:rsid w:val="007318E6"/>
    <w:rsid w:val="00732E16"/>
    <w:rsid w:val="007343A4"/>
    <w:rsid w:val="007350D3"/>
    <w:rsid w:val="00735EDC"/>
    <w:rsid w:val="0073640E"/>
    <w:rsid w:val="0073707D"/>
    <w:rsid w:val="00740B3E"/>
    <w:rsid w:val="00742C80"/>
    <w:rsid w:val="00745728"/>
    <w:rsid w:val="00745A89"/>
    <w:rsid w:val="00745E43"/>
    <w:rsid w:val="007461DC"/>
    <w:rsid w:val="00746E6A"/>
    <w:rsid w:val="007474C7"/>
    <w:rsid w:val="00747F13"/>
    <w:rsid w:val="00750EE9"/>
    <w:rsid w:val="0075151A"/>
    <w:rsid w:val="00751657"/>
    <w:rsid w:val="00751C52"/>
    <w:rsid w:val="0075224B"/>
    <w:rsid w:val="00752C05"/>
    <w:rsid w:val="00754518"/>
    <w:rsid w:val="00755A57"/>
    <w:rsid w:val="00757624"/>
    <w:rsid w:val="007610A6"/>
    <w:rsid w:val="00761B06"/>
    <w:rsid w:val="00762122"/>
    <w:rsid w:val="00763D86"/>
    <w:rsid w:val="00764247"/>
    <w:rsid w:val="00764DB7"/>
    <w:rsid w:val="0076572F"/>
    <w:rsid w:val="00766CF8"/>
    <w:rsid w:val="00766FA9"/>
    <w:rsid w:val="007709A9"/>
    <w:rsid w:val="007712FD"/>
    <w:rsid w:val="00771FD0"/>
    <w:rsid w:val="0077213F"/>
    <w:rsid w:val="00772837"/>
    <w:rsid w:val="00772945"/>
    <w:rsid w:val="007730C9"/>
    <w:rsid w:val="00775C21"/>
    <w:rsid w:val="00775FEA"/>
    <w:rsid w:val="00781049"/>
    <w:rsid w:val="007810E8"/>
    <w:rsid w:val="0078154F"/>
    <w:rsid w:val="00783B41"/>
    <w:rsid w:val="00783E89"/>
    <w:rsid w:val="00785047"/>
    <w:rsid w:val="00786BA3"/>
    <w:rsid w:val="0078741C"/>
    <w:rsid w:val="0079000A"/>
    <w:rsid w:val="007901E8"/>
    <w:rsid w:val="007906A4"/>
    <w:rsid w:val="007909A6"/>
    <w:rsid w:val="00791E19"/>
    <w:rsid w:val="007921AF"/>
    <w:rsid w:val="0079359A"/>
    <w:rsid w:val="00794618"/>
    <w:rsid w:val="007946D4"/>
    <w:rsid w:val="007964D6"/>
    <w:rsid w:val="007A0ACF"/>
    <w:rsid w:val="007A1132"/>
    <w:rsid w:val="007A2EEF"/>
    <w:rsid w:val="007A3525"/>
    <w:rsid w:val="007A3776"/>
    <w:rsid w:val="007A40D0"/>
    <w:rsid w:val="007A6101"/>
    <w:rsid w:val="007A6183"/>
    <w:rsid w:val="007A6915"/>
    <w:rsid w:val="007B014F"/>
    <w:rsid w:val="007B059B"/>
    <w:rsid w:val="007B1266"/>
    <w:rsid w:val="007B18DF"/>
    <w:rsid w:val="007B2B18"/>
    <w:rsid w:val="007B346A"/>
    <w:rsid w:val="007B35EE"/>
    <w:rsid w:val="007B444B"/>
    <w:rsid w:val="007B6F66"/>
    <w:rsid w:val="007C0021"/>
    <w:rsid w:val="007C01D9"/>
    <w:rsid w:val="007C37B6"/>
    <w:rsid w:val="007C7A28"/>
    <w:rsid w:val="007D1745"/>
    <w:rsid w:val="007D64A4"/>
    <w:rsid w:val="007D71A0"/>
    <w:rsid w:val="007D758A"/>
    <w:rsid w:val="007E06BA"/>
    <w:rsid w:val="007E0EB0"/>
    <w:rsid w:val="007E1100"/>
    <w:rsid w:val="007E1AFB"/>
    <w:rsid w:val="007E34A5"/>
    <w:rsid w:val="007E3603"/>
    <w:rsid w:val="007E6B83"/>
    <w:rsid w:val="007F1708"/>
    <w:rsid w:val="007F271B"/>
    <w:rsid w:val="007F4621"/>
    <w:rsid w:val="007F48BC"/>
    <w:rsid w:val="007F67D0"/>
    <w:rsid w:val="007F6EB0"/>
    <w:rsid w:val="007F7E97"/>
    <w:rsid w:val="00801522"/>
    <w:rsid w:val="008029F8"/>
    <w:rsid w:val="008032ED"/>
    <w:rsid w:val="00804214"/>
    <w:rsid w:val="00804398"/>
    <w:rsid w:val="008043D3"/>
    <w:rsid w:val="008045C0"/>
    <w:rsid w:val="00805315"/>
    <w:rsid w:val="008073B7"/>
    <w:rsid w:val="00807494"/>
    <w:rsid w:val="008075E4"/>
    <w:rsid w:val="00811F48"/>
    <w:rsid w:val="00814343"/>
    <w:rsid w:val="0081543C"/>
    <w:rsid w:val="00816C44"/>
    <w:rsid w:val="008176A8"/>
    <w:rsid w:val="008209DD"/>
    <w:rsid w:val="0082196A"/>
    <w:rsid w:val="0082202C"/>
    <w:rsid w:val="0082264B"/>
    <w:rsid w:val="0082361E"/>
    <w:rsid w:val="00823EAE"/>
    <w:rsid w:val="00825660"/>
    <w:rsid w:val="0082589C"/>
    <w:rsid w:val="00827E82"/>
    <w:rsid w:val="008302A3"/>
    <w:rsid w:val="00831345"/>
    <w:rsid w:val="008313D3"/>
    <w:rsid w:val="0083288B"/>
    <w:rsid w:val="008338CB"/>
    <w:rsid w:val="0083458B"/>
    <w:rsid w:val="00836E9C"/>
    <w:rsid w:val="00841ED7"/>
    <w:rsid w:val="00842F38"/>
    <w:rsid w:val="008434C4"/>
    <w:rsid w:val="008467DF"/>
    <w:rsid w:val="008504DC"/>
    <w:rsid w:val="008507C4"/>
    <w:rsid w:val="0085436D"/>
    <w:rsid w:val="00857309"/>
    <w:rsid w:val="0086163A"/>
    <w:rsid w:val="00861658"/>
    <w:rsid w:val="00861F4B"/>
    <w:rsid w:val="00862E34"/>
    <w:rsid w:val="008633F1"/>
    <w:rsid w:val="008633F5"/>
    <w:rsid w:val="00863C7B"/>
    <w:rsid w:val="00864C41"/>
    <w:rsid w:val="00865E25"/>
    <w:rsid w:val="00865F78"/>
    <w:rsid w:val="00870BBE"/>
    <w:rsid w:val="0087324D"/>
    <w:rsid w:val="008732AB"/>
    <w:rsid w:val="0087378C"/>
    <w:rsid w:val="0087448F"/>
    <w:rsid w:val="0087750B"/>
    <w:rsid w:val="00880796"/>
    <w:rsid w:val="0088120B"/>
    <w:rsid w:val="008830E5"/>
    <w:rsid w:val="00883BEC"/>
    <w:rsid w:val="008904A6"/>
    <w:rsid w:val="00890BB7"/>
    <w:rsid w:val="008951D5"/>
    <w:rsid w:val="00895675"/>
    <w:rsid w:val="00895E4B"/>
    <w:rsid w:val="008A101B"/>
    <w:rsid w:val="008A13CB"/>
    <w:rsid w:val="008A2167"/>
    <w:rsid w:val="008A2177"/>
    <w:rsid w:val="008A2C67"/>
    <w:rsid w:val="008A67AD"/>
    <w:rsid w:val="008B0EDD"/>
    <w:rsid w:val="008B2344"/>
    <w:rsid w:val="008B4395"/>
    <w:rsid w:val="008B5BB6"/>
    <w:rsid w:val="008B678E"/>
    <w:rsid w:val="008B6B03"/>
    <w:rsid w:val="008C037F"/>
    <w:rsid w:val="008C2CA5"/>
    <w:rsid w:val="008C5F11"/>
    <w:rsid w:val="008D2C2F"/>
    <w:rsid w:val="008D56A0"/>
    <w:rsid w:val="008E180A"/>
    <w:rsid w:val="008E2F14"/>
    <w:rsid w:val="008E412F"/>
    <w:rsid w:val="008E6CCB"/>
    <w:rsid w:val="008E6D65"/>
    <w:rsid w:val="008E7F24"/>
    <w:rsid w:val="008F232C"/>
    <w:rsid w:val="008F509E"/>
    <w:rsid w:val="008F7BA0"/>
    <w:rsid w:val="008F7FF8"/>
    <w:rsid w:val="009000A9"/>
    <w:rsid w:val="00900F5A"/>
    <w:rsid w:val="00901F8D"/>
    <w:rsid w:val="00902341"/>
    <w:rsid w:val="0090319D"/>
    <w:rsid w:val="0090387F"/>
    <w:rsid w:val="00906F5A"/>
    <w:rsid w:val="00907E26"/>
    <w:rsid w:val="00911BD0"/>
    <w:rsid w:val="00911C00"/>
    <w:rsid w:val="009120C5"/>
    <w:rsid w:val="009129A1"/>
    <w:rsid w:val="00913787"/>
    <w:rsid w:val="00916420"/>
    <w:rsid w:val="00920056"/>
    <w:rsid w:val="00921284"/>
    <w:rsid w:val="00927D6F"/>
    <w:rsid w:val="00927DFA"/>
    <w:rsid w:val="00931905"/>
    <w:rsid w:val="009320C2"/>
    <w:rsid w:val="009322D6"/>
    <w:rsid w:val="00932C54"/>
    <w:rsid w:val="00933722"/>
    <w:rsid w:val="00933915"/>
    <w:rsid w:val="00935547"/>
    <w:rsid w:val="00940660"/>
    <w:rsid w:val="00943957"/>
    <w:rsid w:val="00943A58"/>
    <w:rsid w:val="009451D6"/>
    <w:rsid w:val="00945C7D"/>
    <w:rsid w:val="0095153B"/>
    <w:rsid w:val="0095286C"/>
    <w:rsid w:val="00953273"/>
    <w:rsid w:val="00957327"/>
    <w:rsid w:val="009609CB"/>
    <w:rsid w:val="00963890"/>
    <w:rsid w:val="00963BB3"/>
    <w:rsid w:val="0096473E"/>
    <w:rsid w:val="00965F69"/>
    <w:rsid w:val="009660EF"/>
    <w:rsid w:val="00966B7D"/>
    <w:rsid w:val="0096783F"/>
    <w:rsid w:val="00967A85"/>
    <w:rsid w:val="0097000D"/>
    <w:rsid w:val="0097064B"/>
    <w:rsid w:val="00970730"/>
    <w:rsid w:val="00970F06"/>
    <w:rsid w:val="009718A3"/>
    <w:rsid w:val="00972C26"/>
    <w:rsid w:val="00973AEB"/>
    <w:rsid w:val="00974627"/>
    <w:rsid w:val="00974AFB"/>
    <w:rsid w:val="00975117"/>
    <w:rsid w:val="009768D6"/>
    <w:rsid w:val="009821F9"/>
    <w:rsid w:val="00983D56"/>
    <w:rsid w:val="00985E1B"/>
    <w:rsid w:val="009863F7"/>
    <w:rsid w:val="00986838"/>
    <w:rsid w:val="009869F2"/>
    <w:rsid w:val="00986B5E"/>
    <w:rsid w:val="009902A4"/>
    <w:rsid w:val="00990A77"/>
    <w:rsid w:val="0099194B"/>
    <w:rsid w:val="00993B11"/>
    <w:rsid w:val="00994128"/>
    <w:rsid w:val="00995293"/>
    <w:rsid w:val="00995743"/>
    <w:rsid w:val="009965F4"/>
    <w:rsid w:val="0099693B"/>
    <w:rsid w:val="009976C1"/>
    <w:rsid w:val="00997929"/>
    <w:rsid w:val="00997B94"/>
    <w:rsid w:val="00997E6B"/>
    <w:rsid w:val="009A0588"/>
    <w:rsid w:val="009A16F1"/>
    <w:rsid w:val="009A177D"/>
    <w:rsid w:val="009A2FA2"/>
    <w:rsid w:val="009A33C7"/>
    <w:rsid w:val="009A3E55"/>
    <w:rsid w:val="009B28A7"/>
    <w:rsid w:val="009B2D68"/>
    <w:rsid w:val="009B4E5A"/>
    <w:rsid w:val="009B75A1"/>
    <w:rsid w:val="009C22B9"/>
    <w:rsid w:val="009C2846"/>
    <w:rsid w:val="009C42BA"/>
    <w:rsid w:val="009C6DB9"/>
    <w:rsid w:val="009C7555"/>
    <w:rsid w:val="009D110D"/>
    <w:rsid w:val="009D1898"/>
    <w:rsid w:val="009D19B0"/>
    <w:rsid w:val="009D3BB9"/>
    <w:rsid w:val="009D5146"/>
    <w:rsid w:val="009D516A"/>
    <w:rsid w:val="009E01ED"/>
    <w:rsid w:val="009E10F7"/>
    <w:rsid w:val="009E177D"/>
    <w:rsid w:val="009E2828"/>
    <w:rsid w:val="009E412D"/>
    <w:rsid w:val="009E5B11"/>
    <w:rsid w:val="009E683B"/>
    <w:rsid w:val="009E7D87"/>
    <w:rsid w:val="009F1FA9"/>
    <w:rsid w:val="009F20C9"/>
    <w:rsid w:val="009F3C82"/>
    <w:rsid w:val="009F49C3"/>
    <w:rsid w:val="009F4F32"/>
    <w:rsid w:val="009F5560"/>
    <w:rsid w:val="00A01C55"/>
    <w:rsid w:val="00A0265F"/>
    <w:rsid w:val="00A02A21"/>
    <w:rsid w:val="00A02D4D"/>
    <w:rsid w:val="00A030C2"/>
    <w:rsid w:val="00A04D18"/>
    <w:rsid w:val="00A04FEA"/>
    <w:rsid w:val="00A05172"/>
    <w:rsid w:val="00A06C0A"/>
    <w:rsid w:val="00A06FB7"/>
    <w:rsid w:val="00A07D1C"/>
    <w:rsid w:val="00A10672"/>
    <w:rsid w:val="00A10B2A"/>
    <w:rsid w:val="00A1111E"/>
    <w:rsid w:val="00A13522"/>
    <w:rsid w:val="00A135B5"/>
    <w:rsid w:val="00A13BA2"/>
    <w:rsid w:val="00A14163"/>
    <w:rsid w:val="00A16718"/>
    <w:rsid w:val="00A17884"/>
    <w:rsid w:val="00A20C80"/>
    <w:rsid w:val="00A2263A"/>
    <w:rsid w:val="00A245DC"/>
    <w:rsid w:val="00A24B75"/>
    <w:rsid w:val="00A3154B"/>
    <w:rsid w:val="00A3155A"/>
    <w:rsid w:val="00A3205C"/>
    <w:rsid w:val="00A344A4"/>
    <w:rsid w:val="00A347EA"/>
    <w:rsid w:val="00A3513D"/>
    <w:rsid w:val="00A36187"/>
    <w:rsid w:val="00A36C17"/>
    <w:rsid w:val="00A37ABD"/>
    <w:rsid w:val="00A4008C"/>
    <w:rsid w:val="00A43A4E"/>
    <w:rsid w:val="00A45C68"/>
    <w:rsid w:val="00A47728"/>
    <w:rsid w:val="00A5017F"/>
    <w:rsid w:val="00A507F2"/>
    <w:rsid w:val="00A50833"/>
    <w:rsid w:val="00A5097E"/>
    <w:rsid w:val="00A51FE6"/>
    <w:rsid w:val="00A523A5"/>
    <w:rsid w:val="00A52E0C"/>
    <w:rsid w:val="00A53C0C"/>
    <w:rsid w:val="00A53EF8"/>
    <w:rsid w:val="00A54CE5"/>
    <w:rsid w:val="00A55341"/>
    <w:rsid w:val="00A56493"/>
    <w:rsid w:val="00A569A8"/>
    <w:rsid w:val="00A56DEA"/>
    <w:rsid w:val="00A60143"/>
    <w:rsid w:val="00A60185"/>
    <w:rsid w:val="00A62663"/>
    <w:rsid w:val="00A636B5"/>
    <w:rsid w:val="00A666ED"/>
    <w:rsid w:val="00A66C43"/>
    <w:rsid w:val="00A70315"/>
    <w:rsid w:val="00A7071C"/>
    <w:rsid w:val="00A73F2C"/>
    <w:rsid w:val="00A7454B"/>
    <w:rsid w:val="00A75759"/>
    <w:rsid w:val="00A75F91"/>
    <w:rsid w:val="00A775FC"/>
    <w:rsid w:val="00A77CD6"/>
    <w:rsid w:val="00A816E6"/>
    <w:rsid w:val="00A832A0"/>
    <w:rsid w:val="00A83B4F"/>
    <w:rsid w:val="00A84C95"/>
    <w:rsid w:val="00A865A5"/>
    <w:rsid w:val="00A91A36"/>
    <w:rsid w:val="00A93002"/>
    <w:rsid w:val="00A94D1B"/>
    <w:rsid w:val="00A95520"/>
    <w:rsid w:val="00A9553B"/>
    <w:rsid w:val="00A97915"/>
    <w:rsid w:val="00AA3ED6"/>
    <w:rsid w:val="00AA46F4"/>
    <w:rsid w:val="00AA47F1"/>
    <w:rsid w:val="00AA66A5"/>
    <w:rsid w:val="00AB17FC"/>
    <w:rsid w:val="00AB1FEE"/>
    <w:rsid w:val="00AB24DF"/>
    <w:rsid w:val="00AB346E"/>
    <w:rsid w:val="00AB4362"/>
    <w:rsid w:val="00AB4B76"/>
    <w:rsid w:val="00AB4DE2"/>
    <w:rsid w:val="00AB61CE"/>
    <w:rsid w:val="00AB6613"/>
    <w:rsid w:val="00AB6D1B"/>
    <w:rsid w:val="00AC312F"/>
    <w:rsid w:val="00AC428B"/>
    <w:rsid w:val="00AC43F3"/>
    <w:rsid w:val="00AC4C16"/>
    <w:rsid w:val="00AC4D31"/>
    <w:rsid w:val="00AC4E3D"/>
    <w:rsid w:val="00AC6BE4"/>
    <w:rsid w:val="00AD0AF0"/>
    <w:rsid w:val="00AD1A34"/>
    <w:rsid w:val="00AD1B43"/>
    <w:rsid w:val="00AD3A1C"/>
    <w:rsid w:val="00AD3B4B"/>
    <w:rsid w:val="00AD4377"/>
    <w:rsid w:val="00AD507C"/>
    <w:rsid w:val="00AD6533"/>
    <w:rsid w:val="00AE1FF7"/>
    <w:rsid w:val="00AE239B"/>
    <w:rsid w:val="00AE297B"/>
    <w:rsid w:val="00AE3005"/>
    <w:rsid w:val="00AE4309"/>
    <w:rsid w:val="00AE4DAF"/>
    <w:rsid w:val="00AF0C28"/>
    <w:rsid w:val="00AF1BA8"/>
    <w:rsid w:val="00AF23F3"/>
    <w:rsid w:val="00AF2524"/>
    <w:rsid w:val="00AF4BB1"/>
    <w:rsid w:val="00AF7664"/>
    <w:rsid w:val="00AF7740"/>
    <w:rsid w:val="00B01BF4"/>
    <w:rsid w:val="00B024B0"/>
    <w:rsid w:val="00B02819"/>
    <w:rsid w:val="00B042EC"/>
    <w:rsid w:val="00B04A93"/>
    <w:rsid w:val="00B04EF4"/>
    <w:rsid w:val="00B05D00"/>
    <w:rsid w:val="00B106D9"/>
    <w:rsid w:val="00B10EDD"/>
    <w:rsid w:val="00B1128D"/>
    <w:rsid w:val="00B11C4F"/>
    <w:rsid w:val="00B11D7B"/>
    <w:rsid w:val="00B12597"/>
    <w:rsid w:val="00B12EE6"/>
    <w:rsid w:val="00B138BE"/>
    <w:rsid w:val="00B14049"/>
    <w:rsid w:val="00B14B4D"/>
    <w:rsid w:val="00B2092E"/>
    <w:rsid w:val="00B2096C"/>
    <w:rsid w:val="00B22D0F"/>
    <w:rsid w:val="00B230FC"/>
    <w:rsid w:val="00B23DF5"/>
    <w:rsid w:val="00B24014"/>
    <w:rsid w:val="00B250E0"/>
    <w:rsid w:val="00B25AF7"/>
    <w:rsid w:val="00B26A00"/>
    <w:rsid w:val="00B309B0"/>
    <w:rsid w:val="00B30C73"/>
    <w:rsid w:val="00B316B5"/>
    <w:rsid w:val="00B318F7"/>
    <w:rsid w:val="00B321CA"/>
    <w:rsid w:val="00B32D3D"/>
    <w:rsid w:val="00B337A5"/>
    <w:rsid w:val="00B34510"/>
    <w:rsid w:val="00B346CB"/>
    <w:rsid w:val="00B400B1"/>
    <w:rsid w:val="00B410E8"/>
    <w:rsid w:val="00B4185B"/>
    <w:rsid w:val="00B41BFE"/>
    <w:rsid w:val="00B4439C"/>
    <w:rsid w:val="00B444AC"/>
    <w:rsid w:val="00B451F2"/>
    <w:rsid w:val="00B46343"/>
    <w:rsid w:val="00B4757A"/>
    <w:rsid w:val="00B51D1F"/>
    <w:rsid w:val="00B55541"/>
    <w:rsid w:val="00B557BB"/>
    <w:rsid w:val="00B60B3E"/>
    <w:rsid w:val="00B61DFD"/>
    <w:rsid w:val="00B625D1"/>
    <w:rsid w:val="00B63E19"/>
    <w:rsid w:val="00B64FD7"/>
    <w:rsid w:val="00B666CE"/>
    <w:rsid w:val="00B66B76"/>
    <w:rsid w:val="00B671DD"/>
    <w:rsid w:val="00B7072B"/>
    <w:rsid w:val="00B7270E"/>
    <w:rsid w:val="00B75700"/>
    <w:rsid w:val="00B76559"/>
    <w:rsid w:val="00B82AEC"/>
    <w:rsid w:val="00B84F87"/>
    <w:rsid w:val="00B90379"/>
    <w:rsid w:val="00B9075E"/>
    <w:rsid w:val="00B91ED3"/>
    <w:rsid w:val="00B92F12"/>
    <w:rsid w:val="00B93463"/>
    <w:rsid w:val="00B95380"/>
    <w:rsid w:val="00B9569B"/>
    <w:rsid w:val="00B95743"/>
    <w:rsid w:val="00B962DC"/>
    <w:rsid w:val="00B9788A"/>
    <w:rsid w:val="00B97C0B"/>
    <w:rsid w:val="00BA136D"/>
    <w:rsid w:val="00BA3909"/>
    <w:rsid w:val="00BA46BC"/>
    <w:rsid w:val="00BA479A"/>
    <w:rsid w:val="00BA5095"/>
    <w:rsid w:val="00BA6D63"/>
    <w:rsid w:val="00BB1D2A"/>
    <w:rsid w:val="00BB3F21"/>
    <w:rsid w:val="00BB5AA2"/>
    <w:rsid w:val="00BB69B9"/>
    <w:rsid w:val="00BB7EF6"/>
    <w:rsid w:val="00BC1405"/>
    <w:rsid w:val="00BC1DB5"/>
    <w:rsid w:val="00BC31F0"/>
    <w:rsid w:val="00BC4F36"/>
    <w:rsid w:val="00BC56AC"/>
    <w:rsid w:val="00BC61DA"/>
    <w:rsid w:val="00BC6496"/>
    <w:rsid w:val="00BC7ABD"/>
    <w:rsid w:val="00BD0C77"/>
    <w:rsid w:val="00BD0CDF"/>
    <w:rsid w:val="00BD30E3"/>
    <w:rsid w:val="00BD37A7"/>
    <w:rsid w:val="00BD39B5"/>
    <w:rsid w:val="00BD39BF"/>
    <w:rsid w:val="00BD495E"/>
    <w:rsid w:val="00BD5594"/>
    <w:rsid w:val="00BD56F0"/>
    <w:rsid w:val="00BD5F5C"/>
    <w:rsid w:val="00BD7495"/>
    <w:rsid w:val="00BE041F"/>
    <w:rsid w:val="00BE15B0"/>
    <w:rsid w:val="00BE26A1"/>
    <w:rsid w:val="00BE3650"/>
    <w:rsid w:val="00BE399F"/>
    <w:rsid w:val="00BE444D"/>
    <w:rsid w:val="00BE498E"/>
    <w:rsid w:val="00BE4C97"/>
    <w:rsid w:val="00BE6579"/>
    <w:rsid w:val="00BE6C5A"/>
    <w:rsid w:val="00BF2B1D"/>
    <w:rsid w:val="00BF4D2F"/>
    <w:rsid w:val="00BF4EEF"/>
    <w:rsid w:val="00BF50CD"/>
    <w:rsid w:val="00BF6033"/>
    <w:rsid w:val="00BF7155"/>
    <w:rsid w:val="00C006C3"/>
    <w:rsid w:val="00C01EA6"/>
    <w:rsid w:val="00C0211C"/>
    <w:rsid w:val="00C03B0F"/>
    <w:rsid w:val="00C05B38"/>
    <w:rsid w:val="00C077D4"/>
    <w:rsid w:val="00C07B5A"/>
    <w:rsid w:val="00C11406"/>
    <w:rsid w:val="00C1296B"/>
    <w:rsid w:val="00C1350E"/>
    <w:rsid w:val="00C135BF"/>
    <w:rsid w:val="00C14104"/>
    <w:rsid w:val="00C14302"/>
    <w:rsid w:val="00C157A2"/>
    <w:rsid w:val="00C21C31"/>
    <w:rsid w:val="00C2302A"/>
    <w:rsid w:val="00C23B0B"/>
    <w:rsid w:val="00C24A92"/>
    <w:rsid w:val="00C252B6"/>
    <w:rsid w:val="00C25B37"/>
    <w:rsid w:val="00C27477"/>
    <w:rsid w:val="00C27EBE"/>
    <w:rsid w:val="00C31BE8"/>
    <w:rsid w:val="00C32478"/>
    <w:rsid w:val="00C34414"/>
    <w:rsid w:val="00C34990"/>
    <w:rsid w:val="00C3637B"/>
    <w:rsid w:val="00C36411"/>
    <w:rsid w:val="00C36542"/>
    <w:rsid w:val="00C3799D"/>
    <w:rsid w:val="00C429B8"/>
    <w:rsid w:val="00C446B5"/>
    <w:rsid w:val="00C45080"/>
    <w:rsid w:val="00C5174B"/>
    <w:rsid w:val="00C51BD7"/>
    <w:rsid w:val="00C52875"/>
    <w:rsid w:val="00C53BCD"/>
    <w:rsid w:val="00C549D9"/>
    <w:rsid w:val="00C564FC"/>
    <w:rsid w:val="00C613C8"/>
    <w:rsid w:val="00C63323"/>
    <w:rsid w:val="00C65978"/>
    <w:rsid w:val="00C6673C"/>
    <w:rsid w:val="00C66897"/>
    <w:rsid w:val="00C66A5B"/>
    <w:rsid w:val="00C67E8C"/>
    <w:rsid w:val="00C71514"/>
    <w:rsid w:val="00C7223D"/>
    <w:rsid w:val="00C723DD"/>
    <w:rsid w:val="00C72983"/>
    <w:rsid w:val="00C72E68"/>
    <w:rsid w:val="00C73929"/>
    <w:rsid w:val="00C756C0"/>
    <w:rsid w:val="00C762DD"/>
    <w:rsid w:val="00C765A2"/>
    <w:rsid w:val="00C807D5"/>
    <w:rsid w:val="00C81103"/>
    <w:rsid w:val="00C81A66"/>
    <w:rsid w:val="00C82451"/>
    <w:rsid w:val="00C82CCF"/>
    <w:rsid w:val="00C853C7"/>
    <w:rsid w:val="00C87099"/>
    <w:rsid w:val="00C87291"/>
    <w:rsid w:val="00C90230"/>
    <w:rsid w:val="00C91B59"/>
    <w:rsid w:val="00C931B4"/>
    <w:rsid w:val="00C93853"/>
    <w:rsid w:val="00C95B31"/>
    <w:rsid w:val="00C95E5B"/>
    <w:rsid w:val="00C97352"/>
    <w:rsid w:val="00CA0318"/>
    <w:rsid w:val="00CA2FC6"/>
    <w:rsid w:val="00CA3660"/>
    <w:rsid w:val="00CA422C"/>
    <w:rsid w:val="00CA50F7"/>
    <w:rsid w:val="00CA64AA"/>
    <w:rsid w:val="00CA6E77"/>
    <w:rsid w:val="00CA7ED5"/>
    <w:rsid w:val="00CB0F9C"/>
    <w:rsid w:val="00CB26A5"/>
    <w:rsid w:val="00CB4248"/>
    <w:rsid w:val="00CB4D89"/>
    <w:rsid w:val="00CC1987"/>
    <w:rsid w:val="00CC21DD"/>
    <w:rsid w:val="00CC34E3"/>
    <w:rsid w:val="00CC364C"/>
    <w:rsid w:val="00CC3866"/>
    <w:rsid w:val="00CC556C"/>
    <w:rsid w:val="00CC575E"/>
    <w:rsid w:val="00CC5CE8"/>
    <w:rsid w:val="00CD0D5D"/>
    <w:rsid w:val="00CD1EE1"/>
    <w:rsid w:val="00CD3DC9"/>
    <w:rsid w:val="00CD3F3C"/>
    <w:rsid w:val="00CD5878"/>
    <w:rsid w:val="00CE0407"/>
    <w:rsid w:val="00CE0966"/>
    <w:rsid w:val="00CE0B9B"/>
    <w:rsid w:val="00CE27FC"/>
    <w:rsid w:val="00CE36B3"/>
    <w:rsid w:val="00CE724F"/>
    <w:rsid w:val="00CF08E1"/>
    <w:rsid w:val="00CF0D90"/>
    <w:rsid w:val="00CF1A3E"/>
    <w:rsid w:val="00CF2DFC"/>
    <w:rsid w:val="00CF3608"/>
    <w:rsid w:val="00CF5FF6"/>
    <w:rsid w:val="00CF6186"/>
    <w:rsid w:val="00CF6311"/>
    <w:rsid w:val="00CF70BF"/>
    <w:rsid w:val="00D00B2C"/>
    <w:rsid w:val="00D07668"/>
    <w:rsid w:val="00D10207"/>
    <w:rsid w:val="00D11708"/>
    <w:rsid w:val="00D11859"/>
    <w:rsid w:val="00D15EDA"/>
    <w:rsid w:val="00D16FAD"/>
    <w:rsid w:val="00D200E0"/>
    <w:rsid w:val="00D21653"/>
    <w:rsid w:val="00D21FBB"/>
    <w:rsid w:val="00D23C6D"/>
    <w:rsid w:val="00D2509C"/>
    <w:rsid w:val="00D26C90"/>
    <w:rsid w:val="00D3232D"/>
    <w:rsid w:val="00D32F85"/>
    <w:rsid w:val="00D333F6"/>
    <w:rsid w:val="00D37AE3"/>
    <w:rsid w:val="00D40D74"/>
    <w:rsid w:val="00D41371"/>
    <w:rsid w:val="00D433AB"/>
    <w:rsid w:val="00D44744"/>
    <w:rsid w:val="00D454EF"/>
    <w:rsid w:val="00D4633D"/>
    <w:rsid w:val="00D4764D"/>
    <w:rsid w:val="00D51AA3"/>
    <w:rsid w:val="00D51B5A"/>
    <w:rsid w:val="00D522EB"/>
    <w:rsid w:val="00D52661"/>
    <w:rsid w:val="00D531D4"/>
    <w:rsid w:val="00D53392"/>
    <w:rsid w:val="00D53E41"/>
    <w:rsid w:val="00D56E6F"/>
    <w:rsid w:val="00D605F9"/>
    <w:rsid w:val="00D63DE7"/>
    <w:rsid w:val="00D67F8A"/>
    <w:rsid w:val="00D7145E"/>
    <w:rsid w:val="00D725BD"/>
    <w:rsid w:val="00D738F6"/>
    <w:rsid w:val="00D76218"/>
    <w:rsid w:val="00D76EBE"/>
    <w:rsid w:val="00D77640"/>
    <w:rsid w:val="00D7778D"/>
    <w:rsid w:val="00D77D54"/>
    <w:rsid w:val="00D80483"/>
    <w:rsid w:val="00D816D5"/>
    <w:rsid w:val="00D81C25"/>
    <w:rsid w:val="00D83AF2"/>
    <w:rsid w:val="00D84EF5"/>
    <w:rsid w:val="00D8552D"/>
    <w:rsid w:val="00D85534"/>
    <w:rsid w:val="00D85BBA"/>
    <w:rsid w:val="00D8753C"/>
    <w:rsid w:val="00D943D6"/>
    <w:rsid w:val="00D94A98"/>
    <w:rsid w:val="00D94FFD"/>
    <w:rsid w:val="00D95B9B"/>
    <w:rsid w:val="00D9752A"/>
    <w:rsid w:val="00DA0C12"/>
    <w:rsid w:val="00DA11BE"/>
    <w:rsid w:val="00DA2F3E"/>
    <w:rsid w:val="00DA4954"/>
    <w:rsid w:val="00DA67AD"/>
    <w:rsid w:val="00DB0EAA"/>
    <w:rsid w:val="00DB0F1E"/>
    <w:rsid w:val="00DB1A39"/>
    <w:rsid w:val="00DB2B4E"/>
    <w:rsid w:val="00DB4078"/>
    <w:rsid w:val="00DB52B9"/>
    <w:rsid w:val="00DB55ED"/>
    <w:rsid w:val="00DC00C2"/>
    <w:rsid w:val="00DC1179"/>
    <w:rsid w:val="00DC2978"/>
    <w:rsid w:val="00DC431C"/>
    <w:rsid w:val="00DC4CCD"/>
    <w:rsid w:val="00DC52D8"/>
    <w:rsid w:val="00DC5DAE"/>
    <w:rsid w:val="00DC5F83"/>
    <w:rsid w:val="00DC69DE"/>
    <w:rsid w:val="00DC7059"/>
    <w:rsid w:val="00DC7925"/>
    <w:rsid w:val="00DD1AA2"/>
    <w:rsid w:val="00DD1D44"/>
    <w:rsid w:val="00DD258E"/>
    <w:rsid w:val="00DD2986"/>
    <w:rsid w:val="00DD36AF"/>
    <w:rsid w:val="00DD6621"/>
    <w:rsid w:val="00DD6C84"/>
    <w:rsid w:val="00DE2363"/>
    <w:rsid w:val="00DE2D4E"/>
    <w:rsid w:val="00DE3CEE"/>
    <w:rsid w:val="00DE4A79"/>
    <w:rsid w:val="00DE4BCF"/>
    <w:rsid w:val="00DE7014"/>
    <w:rsid w:val="00DF0331"/>
    <w:rsid w:val="00DF0ED2"/>
    <w:rsid w:val="00DF3D56"/>
    <w:rsid w:val="00DF467B"/>
    <w:rsid w:val="00DF48EC"/>
    <w:rsid w:val="00DF50CF"/>
    <w:rsid w:val="00DF6510"/>
    <w:rsid w:val="00DF7F14"/>
    <w:rsid w:val="00E00021"/>
    <w:rsid w:val="00E01467"/>
    <w:rsid w:val="00E0488C"/>
    <w:rsid w:val="00E04E62"/>
    <w:rsid w:val="00E05106"/>
    <w:rsid w:val="00E058CE"/>
    <w:rsid w:val="00E05987"/>
    <w:rsid w:val="00E06438"/>
    <w:rsid w:val="00E06AEF"/>
    <w:rsid w:val="00E06C5F"/>
    <w:rsid w:val="00E06F7B"/>
    <w:rsid w:val="00E10C8C"/>
    <w:rsid w:val="00E11035"/>
    <w:rsid w:val="00E1192B"/>
    <w:rsid w:val="00E12640"/>
    <w:rsid w:val="00E12822"/>
    <w:rsid w:val="00E12887"/>
    <w:rsid w:val="00E13158"/>
    <w:rsid w:val="00E13B43"/>
    <w:rsid w:val="00E148B7"/>
    <w:rsid w:val="00E1513A"/>
    <w:rsid w:val="00E152B8"/>
    <w:rsid w:val="00E154DE"/>
    <w:rsid w:val="00E159BF"/>
    <w:rsid w:val="00E1797A"/>
    <w:rsid w:val="00E2169B"/>
    <w:rsid w:val="00E248DA"/>
    <w:rsid w:val="00E25991"/>
    <w:rsid w:val="00E26C85"/>
    <w:rsid w:val="00E31C83"/>
    <w:rsid w:val="00E356C6"/>
    <w:rsid w:val="00E36971"/>
    <w:rsid w:val="00E40AA4"/>
    <w:rsid w:val="00E40DE3"/>
    <w:rsid w:val="00E43E6D"/>
    <w:rsid w:val="00E44425"/>
    <w:rsid w:val="00E449BB"/>
    <w:rsid w:val="00E4539F"/>
    <w:rsid w:val="00E45D78"/>
    <w:rsid w:val="00E4769B"/>
    <w:rsid w:val="00E47784"/>
    <w:rsid w:val="00E47792"/>
    <w:rsid w:val="00E51378"/>
    <w:rsid w:val="00E51DB7"/>
    <w:rsid w:val="00E51E91"/>
    <w:rsid w:val="00E52A5A"/>
    <w:rsid w:val="00E55956"/>
    <w:rsid w:val="00E55C71"/>
    <w:rsid w:val="00E55CFF"/>
    <w:rsid w:val="00E56E8D"/>
    <w:rsid w:val="00E575A4"/>
    <w:rsid w:val="00E57F5E"/>
    <w:rsid w:val="00E60210"/>
    <w:rsid w:val="00E61C1B"/>
    <w:rsid w:val="00E638FA"/>
    <w:rsid w:val="00E65A78"/>
    <w:rsid w:val="00E668A1"/>
    <w:rsid w:val="00E67F4E"/>
    <w:rsid w:val="00E7043E"/>
    <w:rsid w:val="00E70B47"/>
    <w:rsid w:val="00E72541"/>
    <w:rsid w:val="00E72D4D"/>
    <w:rsid w:val="00E751EF"/>
    <w:rsid w:val="00E76E4E"/>
    <w:rsid w:val="00E7751F"/>
    <w:rsid w:val="00E8069C"/>
    <w:rsid w:val="00E806E5"/>
    <w:rsid w:val="00E81329"/>
    <w:rsid w:val="00E83A01"/>
    <w:rsid w:val="00E846BE"/>
    <w:rsid w:val="00E848FE"/>
    <w:rsid w:val="00E85F39"/>
    <w:rsid w:val="00E9056B"/>
    <w:rsid w:val="00E9170B"/>
    <w:rsid w:val="00E925EB"/>
    <w:rsid w:val="00E93DDE"/>
    <w:rsid w:val="00E94D0D"/>
    <w:rsid w:val="00E95343"/>
    <w:rsid w:val="00E97333"/>
    <w:rsid w:val="00EA053E"/>
    <w:rsid w:val="00EA261C"/>
    <w:rsid w:val="00EA3ACF"/>
    <w:rsid w:val="00EA3BA8"/>
    <w:rsid w:val="00EA44BB"/>
    <w:rsid w:val="00EA4F9E"/>
    <w:rsid w:val="00EA50B0"/>
    <w:rsid w:val="00EA62D1"/>
    <w:rsid w:val="00EA6DC8"/>
    <w:rsid w:val="00EB092F"/>
    <w:rsid w:val="00EB0A4A"/>
    <w:rsid w:val="00EB34BA"/>
    <w:rsid w:val="00EB3C83"/>
    <w:rsid w:val="00EB6D1F"/>
    <w:rsid w:val="00EB77B2"/>
    <w:rsid w:val="00EB7C66"/>
    <w:rsid w:val="00EB7D2B"/>
    <w:rsid w:val="00EC12D4"/>
    <w:rsid w:val="00EC5920"/>
    <w:rsid w:val="00EC6F6C"/>
    <w:rsid w:val="00ED05DA"/>
    <w:rsid w:val="00ED0BC1"/>
    <w:rsid w:val="00ED0D94"/>
    <w:rsid w:val="00ED28CD"/>
    <w:rsid w:val="00ED5006"/>
    <w:rsid w:val="00ED58A5"/>
    <w:rsid w:val="00ED6C19"/>
    <w:rsid w:val="00ED6FA2"/>
    <w:rsid w:val="00EE1831"/>
    <w:rsid w:val="00EE1D8A"/>
    <w:rsid w:val="00EE31F9"/>
    <w:rsid w:val="00EE4683"/>
    <w:rsid w:val="00EE4F12"/>
    <w:rsid w:val="00EE50B3"/>
    <w:rsid w:val="00EE532A"/>
    <w:rsid w:val="00EE67FD"/>
    <w:rsid w:val="00EE6AD3"/>
    <w:rsid w:val="00EE7947"/>
    <w:rsid w:val="00EF027B"/>
    <w:rsid w:val="00EF02CC"/>
    <w:rsid w:val="00EF1B11"/>
    <w:rsid w:val="00EF1D9F"/>
    <w:rsid w:val="00EF2416"/>
    <w:rsid w:val="00EF3BDD"/>
    <w:rsid w:val="00EF40AC"/>
    <w:rsid w:val="00EF56A9"/>
    <w:rsid w:val="00F00E42"/>
    <w:rsid w:val="00F02BC1"/>
    <w:rsid w:val="00F04DBA"/>
    <w:rsid w:val="00F04E50"/>
    <w:rsid w:val="00F06F63"/>
    <w:rsid w:val="00F103A3"/>
    <w:rsid w:val="00F10E0D"/>
    <w:rsid w:val="00F14A5F"/>
    <w:rsid w:val="00F16700"/>
    <w:rsid w:val="00F17D68"/>
    <w:rsid w:val="00F212AF"/>
    <w:rsid w:val="00F2197E"/>
    <w:rsid w:val="00F22768"/>
    <w:rsid w:val="00F25944"/>
    <w:rsid w:val="00F26B5F"/>
    <w:rsid w:val="00F26B7A"/>
    <w:rsid w:val="00F273FF"/>
    <w:rsid w:val="00F27CAE"/>
    <w:rsid w:val="00F3043E"/>
    <w:rsid w:val="00F31427"/>
    <w:rsid w:val="00F31B28"/>
    <w:rsid w:val="00F31B92"/>
    <w:rsid w:val="00F32547"/>
    <w:rsid w:val="00F3319D"/>
    <w:rsid w:val="00F33757"/>
    <w:rsid w:val="00F346D1"/>
    <w:rsid w:val="00F4041B"/>
    <w:rsid w:val="00F415C7"/>
    <w:rsid w:val="00F428DA"/>
    <w:rsid w:val="00F42E69"/>
    <w:rsid w:val="00F431E3"/>
    <w:rsid w:val="00F454E3"/>
    <w:rsid w:val="00F46492"/>
    <w:rsid w:val="00F4791E"/>
    <w:rsid w:val="00F5005F"/>
    <w:rsid w:val="00F500EE"/>
    <w:rsid w:val="00F51ABC"/>
    <w:rsid w:val="00F51D97"/>
    <w:rsid w:val="00F51E9D"/>
    <w:rsid w:val="00F53504"/>
    <w:rsid w:val="00F55061"/>
    <w:rsid w:val="00F57C7A"/>
    <w:rsid w:val="00F6102A"/>
    <w:rsid w:val="00F613B2"/>
    <w:rsid w:val="00F62EC9"/>
    <w:rsid w:val="00F64980"/>
    <w:rsid w:val="00F64E51"/>
    <w:rsid w:val="00F6692B"/>
    <w:rsid w:val="00F704F6"/>
    <w:rsid w:val="00F72025"/>
    <w:rsid w:val="00F7207D"/>
    <w:rsid w:val="00F72CC7"/>
    <w:rsid w:val="00F742DB"/>
    <w:rsid w:val="00F742F7"/>
    <w:rsid w:val="00F772D3"/>
    <w:rsid w:val="00F80006"/>
    <w:rsid w:val="00F80B08"/>
    <w:rsid w:val="00F80D22"/>
    <w:rsid w:val="00F82882"/>
    <w:rsid w:val="00F86478"/>
    <w:rsid w:val="00F8729B"/>
    <w:rsid w:val="00F8765A"/>
    <w:rsid w:val="00F906C3"/>
    <w:rsid w:val="00F90700"/>
    <w:rsid w:val="00F91600"/>
    <w:rsid w:val="00F9337D"/>
    <w:rsid w:val="00F938E3"/>
    <w:rsid w:val="00F94DFD"/>
    <w:rsid w:val="00F954D6"/>
    <w:rsid w:val="00F969B1"/>
    <w:rsid w:val="00F9723F"/>
    <w:rsid w:val="00FA0A63"/>
    <w:rsid w:val="00FA3D2A"/>
    <w:rsid w:val="00FA4E26"/>
    <w:rsid w:val="00FB037F"/>
    <w:rsid w:val="00FB3917"/>
    <w:rsid w:val="00FB52EB"/>
    <w:rsid w:val="00FB5D68"/>
    <w:rsid w:val="00FB6205"/>
    <w:rsid w:val="00FB6F11"/>
    <w:rsid w:val="00FB71E0"/>
    <w:rsid w:val="00FB7BEB"/>
    <w:rsid w:val="00FC13BE"/>
    <w:rsid w:val="00FC5229"/>
    <w:rsid w:val="00FC57A8"/>
    <w:rsid w:val="00FC640B"/>
    <w:rsid w:val="00FD0B83"/>
    <w:rsid w:val="00FD1550"/>
    <w:rsid w:val="00FD1C4A"/>
    <w:rsid w:val="00FD2CB9"/>
    <w:rsid w:val="00FD30E4"/>
    <w:rsid w:val="00FD64D2"/>
    <w:rsid w:val="00FD74F7"/>
    <w:rsid w:val="00FE0189"/>
    <w:rsid w:val="00FE061B"/>
    <w:rsid w:val="00FE0C63"/>
    <w:rsid w:val="00FE40BC"/>
    <w:rsid w:val="00FE462E"/>
    <w:rsid w:val="00FE58AD"/>
    <w:rsid w:val="00FF012A"/>
    <w:rsid w:val="00FF043E"/>
    <w:rsid w:val="00FF15CC"/>
    <w:rsid w:val="00FF1666"/>
    <w:rsid w:val="00FF1E36"/>
    <w:rsid w:val="00FF32C2"/>
    <w:rsid w:val="00FF4B56"/>
    <w:rsid w:val="00FF4E26"/>
    <w:rsid w:val="00FF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CE2159"/>
  <w15:chartTrackingRefBased/>
  <w15:docId w15:val="{4A5C4DBD-E721-429A-9B59-40639F91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70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9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9A6"/>
    <w:rPr>
      <w:rFonts w:ascii="Segoe UI" w:hAnsi="Segoe UI" w:cs="Segoe UI"/>
      <w:sz w:val="18"/>
      <w:szCs w:val="18"/>
    </w:rPr>
  </w:style>
  <w:style w:type="character" w:styleId="CommentReference">
    <w:name w:val="annotation reference"/>
    <w:basedOn w:val="DefaultParagraphFont"/>
    <w:uiPriority w:val="99"/>
    <w:semiHidden/>
    <w:unhideWhenUsed/>
    <w:rsid w:val="00AE4309"/>
    <w:rPr>
      <w:sz w:val="16"/>
      <w:szCs w:val="16"/>
    </w:rPr>
  </w:style>
  <w:style w:type="paragraph" w:styleId="CommentText">
    <w:name w:val="annotation text"/>
    <w:basedOn w:val="Normal"/>
    <w:link w:val="CommentTextChar"/>
    <w:uiPriority w:val="99"/>
    <w:semiHidden/>
    <w:unhideWhenUsed/>
    <w:rsid w:val="00AE4309"/>
    <w:pPr>
      <w:spacing w:line="240" w:lineRule="auto"/>
    </w:pPr>
    <w:rPr>
      <w:sz w:val="20"/>
      <w:szCs w:val="20"/>
    </w:rPr>
  </w:style>
  <w:style w:type="character" w:customStyle="1" w:styleId="CommentTextChar">
    <w:name w:val="Comment Text Char"/>
    <w:basedOn w:val="DefaultParagraphFont"/>
    <w:link w:val="CommentText"/>
    <w:uiPriority w:val="99"/>
    <w:semiHidden/>
    <w:rsid w:val="00AE4309"/>
    <w:rPr>
      <w:sz w:val="20"/>
      <w:szCs w:val="20"/>
    </w:rPr>
  </w:style>
  <w:style w:type="paragraph" w:styleId="CommentSubject">
    <w:name w:val="annotation subject"/>
    <w:basedOn w:val="CommentText"/>
    <w:next w:val="CommentText"/>
    <w:link w:val="CommentSubjectChar"/>
    <w:uiPriority w:val="99"/>
    <w:semiHidden/>
    <w:unhideWhenUsed/>
    <w:rsid w:val="00AE4309"/>
    <w:rPr>
      <w:b/>
      <w:bCs/>
    </w:rPr>
  </w:style>
  <w:style w:type="character" w:customStyle="1" w:styleId="CommentSubjectChar">
    <w:name w:val="Comment Subject Char"/>
    <w:basedOn w:val="CommentTextChar"/>
    <w:link w:val="CommentSubject"/>
    <w:uiPriority w:val="99"/>
    <w:semiHidden/>
    <w:rsid w:val="00AE4309"/>
    <w:rPr>
      <w:b/>
      <w:bCs/>
      <w:sz w:val="20"/>
      <w:szCs w:val="20"/>
    </w:rPr>
  </w:style>
  <w:style w:type="paragraph" w:styleId="Header">
    <w:name w:val="header"/>
    <w:basedOn w:val="Normal"/>
    <w:link w:val="HeaderChar"/>
    <w:uiPriority w:val="99"/>
    <w:unhideWhenUsed/>
    <w:rsid w:val="00DE7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014"/>
  </w:style>
  <w:style w:type="paragraph" w:styleId="Footer">
    <w:name w:val="footer"/>
    <w:basedOn w:val="Normal"/>
    <w:link w:val="FooterChar"/>
    <w:uiPriority w:val="99"/>
    <w:unhideWhenUsed/>
    <w:rsid w:val="00DE7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014"/>
  </w:style>
  <w:style w:type="character" w:styleId="Hyperlink">
    <w:name w:val="Hyperlink"/>
    <w:basedOn w:val="DefaultParagraphFont"/>
    <w:uiPriority w:val="99"/>
    <w:unhideWhenUsed/>
    <w:rsid w:val="00672476"/>
    <w:rPr>
      <w:color w:val="0000FF"/>
      <w:u w:val="single"/>
    </w:rPr>
  </w:style>
  <w:style w:type="table" w:styleId="TableGrid">
    <w:name w:val="Table Grid"/>
    <w:basedOn w:val="TableNormal"/>
    <w:uiPriority w:val="39"/>
    <w:rsid w:val="00996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12D21"/>
    <w:rPr>
      <w:color w:val="954F72" w:themeColor="followedHyperlink"/>
      <w:u w:val="single"/>
    </w:rPr>
  </w:style>
  <w:style w:type="paragraph" w:styleId="ListParagraph">
    <w:name w:val="List Paragraph"/>
    <w:basedOn w:val="Normal"/>
    <w:uiPriority w:val="34"/>
    <w:qFormat/>
    <w:rsid w:val="00F16700"/>
    <w:pPr>
      <w:spacing w:after="0" w:line="240" w:lineRule="auto"/>
      <w:ind w:left="720"/>
      <w:contextualSpacing/>
    </w:pPr>
    <w:rPr>
      <w:rFonts w:ascii="Arial" w:eastAsia="Times New Roman" w:hAnsi="Arial" w:cs="Times New Roman"/>
      <w:sz w:val="24"/>
      <w:szCs w:val="20"/>
    </w:rPr>
  </w:style>
  <w:style w:type="character" w:customStyle="1" w:styleId="apple-converted-space">
    <w:name w:val="apple-converted-space"/>
    <w:basedOn w:val="DefaultParagraphFont"/>
    <w:rsid w:val="006C7A98"/>
  </w:style>
  <w:style w:type="character" w:styleId="UnresolvedMention">
    <w:name w:val="Unresolved Mention"/>
    <w:basedOn w:val="DefaultParagraphFont"/>
    <w:uiPriority w:val="99"/>
    <w:semiHidden/>
    <w:unhideWhenUsed/>
    <w:rsid w:val="00306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138">
      <w:bodyDiv w:val="1"/>
      <w:marLeft w:val="0"/>
      <w:marRight w:val="0"/>
      <w:marTop w:val="0"/>
      <w:marBottom w:val="0"/>
      <w:divBdr>
        <w:top w:val="none" w:sz="0" w:space="0" w:color="auto"/>
        <w:left w:val="none" w:sz="0" w:space="0" w:color="auto"/>
        <w:bottom w:val="none" w:sz="0" w:space="0" w:color="auto"/>
        <w:right w:val="none" w:sz="0" w:space="0" w:color="auto"/>
      </w:divBdr>
    </w:div>
    <w:div w:id="10109105">
      <w:bodyDiv w:val="1"/>
      <w:marLeft w:val="0"/>
      <w:marRight w:val="0"/>
      <w:marTop w:val="0"/>
      <w:marBottom w:val="0"/>
      <w:divBdr>
        <w:top w:val="none" w:sz="0" w:space="0" w:color="auto"/>
        <w:left w:val="none" w:sz="0" w:space="0" w:color="auto"/>
        <w:bottom w:val="none" w:sz="0" w:space="0" w:color="auto"/>
        <w:right w:val="none" w:sz="0" w:space="0" w:color="auto"/>
      </w:divBdr>
    </w:div>
    <w:div w:id="12072772">
      <w:bodyDiv w:val="1"/>
      <w:marLeft w:val="0"/>
      <w:marRight w:val="0"/>
      <w:marTop w:val="0"/>
      <w:marBottom w:val="0"/>
      <w:divBdr>
        <w:top w:val="none" w:sz="0" w:space="0" w:color="auto"/>
        <w:left w:val="none" w:sz="0" w:space="0" w:color="auto"/>
        <w:bottom w:val="none" w:sz="0" w:space="0" w:color="auto"/>
        <w:right w:val="none" w:sz="0" w:space="0" w:color="auto"/>
      </w:divBdr>
    </w:div>
    <w:div w:id="21561480">
      <w:bodyDiv w:val="1"/>
      <w:marLeft w:val="0"/>
      <w:marRight w:val="0"/>
      <w:marTop w:val="0"/>
      <w:marBottom w:val="0"/>
      <w:divBdr>
        <w:top w:val="none" w:sz="0" w:space="0" w:color="auto"/>
        <w:left w:val="none" w:sz="0" w:space="0" w:color="auto"/>
        <w:bottom w:val="none" w:sz="0" w:space="0" w:color="auto"/>
        <w:right w:val="none" w:sz="0" w:space="0" w:color="auto"/>
      </w:divBdr>
    </w:div>
    <w:div w:id="48500290">
      <w:bodyDiv w:val="1"/>
      <w:marLeft w:val="0"/>
      <w:marRight w:val="0"/>
      <w:marTop w:val="0"/>
      <w:marBottom w:val="0"/>
      <w:divBdr>
        <w:top w:val="none" w:sz="0" w:space="0" w:color="auto"/>
        <w:left w:val="none" w:sz="0" w:space="0" w:color="auto"/>
        <w:bottom w:val="none" w:sz="0" w:space="0" w:color="auto"/>
        <w:right w:val="none" w:sz="0" w:space="0" w:color="auto"/>
      </w:divBdr>
    </w:div>
    <w:div w:id="76485877">
      <w:bodyDiv w:val="1"/>
      <w:marLeft w:val="0"/>
      <w:marRight w:val="0"/>
      <w:marTop w:val="0"/>
      <w:marBottom w:val="0"/>
      <w:divBdr>
        <w:top w:val="none" w:sz="0" w:space="0" w:color="auto"/>
        <w:left w:val="none" w:sz="0" w:space="0" w:color="auto"/>
        <w:bottom w:val="none" w:sz="0" w:space="0" w:color="auto"/>
        <w:right w:val="none" w:sz="0" w:space="0" w:color="auto"/>
      </w:divBdr>
    </w:div>
    <w:div w:id="138767811">
      <w:bodyDiv w:val="1"/>
      <w:marLeft w:val="0"/>
      <w:marRight w:val="0"/>
      <w:marTop w:val="0"/>
      <w:marBottom w:val="0"/>
      <w:divBdr>
        <w:top w:val="none" w:sz="0" w:space="0" w:color="auto"/>
        <w:left w:val="none" w:sz="0" w:space="0" w:color="auto"/>
        <w:bottom w:val="none" w:sz="0" w:space="0" w:color="auto"/>
        <w:right w:val="none" w:sz="0" w:space="0" w:color="auto"/>
      </w:divBdr>
    </w:div>
    <w:div w:id="213859439">
      <w:bodyDiv w:val="1"/>
      <w:marLeft w:val="0"/>
      <w:marRight w:val="0"/>
      <w:marTop w:val="0"/>
      <w:marBottom w:val="0"/>
      <w:divBdr>
        <w:top w:val="none" w:sz="0" w:space="0" w:color="auto"/>
        <w:left w:val="none" w:sz="0" w:space="0" w:color="auto"/>
        <w:bottom w:val="none" w:sz="0" w:space="0" w:color="auto"/>
        <w:right w:val="none" w:sz="0" w:space="0" w:color="auto"/>
      </w:divBdr>
    </w:div>
    <w:div w:id="228350100">
      <w:bodyDiv w:val="1"/>
      <w:marLeft w:val="0"/>
      <w:marRight w:val="0"/>
      <w:marTop w:val="0"/>
      <w:marBottom w:val="0"/>
      <w:divBdr>
        <w:top w:val="none" w:sz="0" w:space="0" w:color="auto"/>
        <w:left w:val="none" w:sz="0" w:space="0" w:color="auto"/>
        <w:bottom w:val="none" w:sz="0" w:space="0" w:color="auto"/>
        <w:right w:val="none" w:sz="0" w:space="0" w:color="auto"/>
      </w:divBdr>
    </w:div>
    <w:div w:id="245186264">
      <w:bodyDiv w:val="1"/>
      <w:marLeft w:val="0"/>
      <w:marRight w:val="0"/>
      <w:marTop w:val="0"/>
      <w:marBottom w:val="0"/>
      <w:divBdr>
        <w:top w:val="none" w:sz="0" w:space="0" w:color="auto"/>
        <w:left w:val="none" w:sz="0" w:space="0" w:color="auto"/>
        <w:bottom w:val="none" w:sz="0" w:space="0" w:color="auto"/>
        <w:right w:val="none" w:sz="0" w:space="0" w:color="auto"/>
      </w:divBdr>
    </w:div>
    <w:div w:id="247543216">
      <w:bodyDiv w:val="1"/>
      <w:marLeft w:val="0"/>
      <w:marRight w:val="0"/>
      <w:marTop w:val="0"/>
      <w:marBottom w:val="0"/>
      <w:divBdr>
        <w:top w:val="none" w:sz="0" w:space="0" w:color="auto"/>
        <w:left w:val="none" w:sz="0" w:space="0" w:color="auto"/>
        <w:bottom w:val="none" w:sz="0" w:space="0" w:color="auto"/>
        <w:right w:val="none" w:sz="0" w:space="0" w:color="auto"/>
      </w:divBdr>
    </w:div>
    <w:div w:id="279462428">
      <w:bodyDiv w:val="1"/>
      <w:marLeft w:val="0"/>
      <w:marRight w:val="0"/>
      <w:marTop w:val="0"/>
      <w:marBottom w:val="0"/>
      <w:divBdr>
        <w:top w:val="none" w:sz="0" w:space="0" w:color="auto"/>
        <w:left w:val="none" w:sz="0" w:space="0" w:color="auto"/>
        <w:bottom w:val="none" w:sz="0" w:space="0" w:color="auto"/>
        <w:right w:val="none" w:sz="0" w:space="0" w:color="auto"/>
      </w:divBdr>
    </w:div>
    <w:div w:id="290136483">
      <w:bodyDiv w:val="1"/>
      <w:marLeft w:val="0"/>
      <w:marRight w:val="0"/>
      <w:marTop w:val="0"/>
      <w:marBottom w:val="0"/>
      <w:divBdr>
        <w:top w:val="none" w:sz="0" w:space="0" w:color="auto"/>
        <w:left w:val="none" w:sz="0" w:space="0" w:color="auto"/>
        <w:bottom w:val="none" w:sz="0" w:space="0" w:color="auto"/>
        <w:right w:val="none" w:sz="0" w:space="0" w:color="auto"/>
      </w:divBdr>
    </w:div>
    <w:div w:id="330911746">
      <w:bodyDiv w:val="1"/>
      <w:marLeft w:val="0"/>
      <w:marRight w:val="0"/>
      <w:marTop w:val="0"/>
      <w:marBottom w:val="0"/>
      <w:divBdr>
        <w:top w:val="none" w:sz="0" w:space="0" w:color="auto"/>
        <w:left w:val="none" w:sz="0" w:space="0" w:color="auto"/>
        <w:bottom w:val="none" w:sz="0" w:space="0" w:color="auto"/>
        <w:right w:val="none" w:sz="0" w:space="0" w:color="auto"/>
      </w:divBdr>
    </w:div>
    <w:div w:id="359359941">
      <w:bodyDiv w:val="1"/>
      <w:marLeft w:val="0"/>
      <w:marRight w:val="0"/>
      <w:marTop w:val="0"/>
      <w:marBottom w:val="0"/>
      <w:divBdr>
        <w:top w:val="none" w:sz="0" w:space="0" w:color="auto"/>
        <w:left w:val="none" w:sz="0" w:space="0" w:color="auto"/>
        <w:bottom w:val="none" w:sz="0" w:space="0" w:color="auto"/>
        <w:right w:val="none" w:sz="0" w:space="0" w:color="auto"/>
      </w:divBdr>
    </w:div>
    <w:div w:id="403793598">
      <w:bodyDiv w:val="1"/>
      <w:marLeft w:val="0"/>
      <w:marRight w:val="0"/>
      <w:marTop w:val="0"/>
      <w:marBottom w:val="0"/>
      <w:divBdr>
        <w:top w:val="none" w:sz="0" w:space="0" w:color="auto"/>
        <w:left w:val="none" w:sz="0" w:space="0" w:color="auto"/>
        <w:bottom w:val="none" w:sz="0" w:space="0" w:color="auto"/>
        <w:right w:val="none" w:sz="0" w:space="0" w:color="auto"/>
      </w:divBdr>
    </w:div>
    <w:div w:id="438111266">
      <w:bodyDiv w:val="1"/>
      <w:marLeft w:val="0"/>
      <w:marRight w:val="0"/>
      <w:marTop w:val="0"/>
      <w:marBottom w:val="0"/>
      <w:divBdr>
        <w:top w:val="none" w:sz="0" w:space="0" w:color="auto"/>
        <w:left w:val="none" w:sz="0" w:space="0" w:color="auto"/>
        <w:bottom w:val="none" w:sz="0" w:space="0" w:color="auto"/>
        <w:right w:val="none" w:sz="0" w:space="0" w:color="auto"/>
      </w:divBdr>
    </w:div>
    <w:div w:id="452091766">
      <w:bodyDiv w:val="1"/>
      <w:marLeft w:val="0"/>
      <w:marRight w:val="0"/>
      <w:marTop w:val="0"/>
      <w:marBottom w:val="0"/>
      <w:divBdr>
        <w:top w:val="none" w:sz="0" w:space="0" w:color="auto"/>
        <w:left w:val="none" w:sz="0" w:space="0" w:color="auto"/>
        <w:bottom w:val="none" w:sz="0" w:space="0" w:color="auto"/>
        <w:right w:val="none" w:sz="0" w:space="0" w:color="auto"/>
      </w:divBdr>
    </w:div>
    <w:div w:id="485516050">
      <w:bodyDiv w:val="1"/>
      <w:marLeft w:val="0"/>
      <w:marRight w:val="0"/>
      <w:marTop w:val="0"/>
      <w:marBottom w:val="0"/>
      <w:divBdr>
        <w:top w:val="none" w:sz="0" w:space="0" w:color="auto"/>
        <w:left w:val="none" w:sz="0" w:space="0" w:color="auto"/>
        <w:bottom w:val="none" w:sz="0" w:space="0" w:color="auto"/>
        <w:right w:val="none" w:sz="0" w:space="0" w:color="auto"/>
      </w:divBdr>
    </w:div>
    <w:div w:id="488324148">
      <w:bodyDiv w:val="1"/>
      <w:marLeft w:val="0"/>
      <w:marRight w:val="0"/>
      <w:marTop w:val="0"/>
      <w:marBottom w:val="0"/>
      <w:divBdr>
        <w:top w:val="none" w:sz="0" w:space="0" w:color="auto"/>
        <w:left w:val="none" w:sz="0" w:space="0" w:color="auto"/>
        <w:bottom w:val="none" w:sz="0" w:space="0" w:color="auto"/>
        <w:right w:val="none" w:sz="0" w:space="0" w:color="auto"/>
      </w:divBdr>
    </w:div>
    <w:div w:id="502284209">
      <w:bodyDiv w:val="1"/>
      <w:marLeft w:val="0"/>
      <w:marRight w:val="0"/>
      <w:marTop w:val="0"/>
      <w:marBottom w:val="0"/>
      <w:divBdr>
        <w:top w:val="none" w:sz="0" w:space="0" w:color="auto"/>
        <w:left w:val="none" w:sz="0" w:space="0" w:color="auto"/>
        <w:bottom w:val="none" w:sz="0" w:space="0" w:color="auto"/>
        <w:right w:val="none" w:sz="0" w:space="0" w:color="auto"/>
      </w:divBdr>
    </w:div>
    <w:div w:id="575088784">
      <w:bodyDiv w:val="1"/>
      <w:marLeft w:val="0"/>
      <w:marRight w:val="0"/>
      <w:marTop w:val="0"/>
      <w:marBottom w:val="0"/>
      <w:divBdr>
        <w:top w:val="none" w:sz="0" w:space="0" w:color="auto"/>
        <w:left w:val="none" w:sz="0" w:space="0" w:color="auto"/>
        <w:bottom w:val="none" w:sz="0" w:space="0" w:color="auto"/>
        <w:right w:val="none" w:sz="0" w:space="0" w:color="auto"/>
      </w:divBdr>
      <w:divsChild>
        <w:div w:id="1577547750">
          <w:marLeft w:val="0"/>
          <w:marRight w:val="0"/>
          <w:marTop w:val="0"/>
          <w:marBottom w:val="0"/>
          <w:divBdr>
            <w:top w:val="none" w:sz="0" w:space="0" w:color="auto"/>
            <w:left w:val="none" w:sz="0" w:space="0" w:color="auto"/>
            <w:bottom w:val="none" w:sz="0" w:space="0" w:color="auto"/>
            <w:right w:val="none" w:sz="0" w:space="0" w:color="auto"/>
          </w:divBdr>
        </w:div>
      </w:divsChild>
    </w:div>
    <w:div w:id="596913210">
      <w:bodyDiv w:val="1"/>
      <w:marLeft w:val="0"/>
      <w:marRight w:val="0"/>
      <w:marTop w:val="0"/>
      <w:marBottom w:val="0"/>
      <w:divBdr>
        <w:top w:val="none" w:sz="0" w:space="0" w:color="auto"/>
        <w:left w:val="none" w:sz="0" w:space="0" w:color="auto"/>
        <w:bottom w:val="none" w:sz="0" w:space="0" w:color="auto"/>
        <w:right w:val="none" w:sz="0" w:space="0" w:color="auto"/>
      </w:divBdr>
    </w:div>
    <w:div w:id="598680686">
      <w:bodyDiv w:val="1"/>
      <w:marLeft w:val="0"/>
      <w:marRight w:val="0"/>
      <w:marTop w:val="0"/>
      <w:marBottom w:val="0"/>
      <w:divBdr>
        <w:top w:val="none" w:sz="0" w:space="0" w:color="auto"/>
        <w:left w:val="none" w:sz="0" w:space="0" w:color="auto"/>
        <w:bottom w:val="none" w:sz="0" w:space="0" w:color="auto"/>
        <w:right w:val="none" w:sz="0" w:space="0" w:color="auto"/>
      </w:divBdr>
    </w:div>
    <w:div w:id="599289949">
      <w:bodyDiv w:val="1"/>
      <w:marLeft w:val="0"/>
      <w:marRight w:val="0"/>
      <w:marTop w:val="0"/>
      <w:marBottom w:val="0"/>
      <w:divBdr>
        <w:top w:val="none" w:sz="0" w:space="0" w:color="auto"/>
        <w:left w:val="none" w:sz="0" w:space="0" w:color="auto"/>
        <w:bottom w:val="none" w:sz="0" w:space="0" w:color="auto"/>
        <w:right w:val="none" w:sz="0" w:space="0" w:color="auto"/>
      </w:divBdr>
    </w:div>
    <w:div w:id="600799799">
      <w:bodyDiv w:val="1"/>
      <w:marLeft w:val="0"/>
      <w:marRight w:val="0"/>
      <w:marTop w:val="0"/>
      <w:marBottom w:val="0"/>
      <w:divBdr>
        <w:top w:val="none" w:sz="0" w:space="0" w:color="auto"/>
        <w:left w:val="none" w:sz="0" w:space="0" w:color="auto"/>
        <w:bottom w:val="none" w:sz="0" w:space="0" w:color="auto"/>
        <w:right w:val="none" w:sz="0" w:space="0" w:color="auto"/>
      </w:divBdr>
    </w:div>
    <w:div w:id="602806693">
      <w:bodyDiv w:val="1"/>
      <w:marLeft w:val="0"/>
      <w:marRight w:val="0"/>
      <w:marTop w:val="0"/>
      <w:marBottom w:val="0"/>
      <w:divBdr>
        <w:top w:val="none" w:sz="0" w:space="0" w:color="auto"/>
        <w:left w:val="none" w:sz="0" w:space="0" w:color="auto"/>
        <w:bottom w:val="none" w:sz="0" w:space="0" w:color="auto"/>
        <w:right w:val="none" w:sz="0" w:space="0" w:color="auto"/>
      </w:divBdr>
    </w:div>
    <w:div w:id="696203272">
      <w:bodyDiv w:val="1"/>
      <w:marLeft w:val="0"/>
      <w:marRight w:val="0"/>
      <w:marTop w:val="0"/>
      <w:marBottom w:val="0"/>
      <w:divBdr>
        <w:top w:val="none" w:sz="0" w:space="0" w:color="auto"/>
        <w:left w:val="none" w:sz="0" w:space="0" w:color="auto"/>
        <w:bottom w:val="none" w:sz="0" w:space="0" w:color="auto"/>
        <w:right w:val="none" w:sz="0" w:space="0" w:color="auto"/>
      </w:divBdr>
    </w:div>
    <w:div w:id="724455022">
      <w:bodyDiv w:val="1"/>
      <w:marLeft w:val="0"/>
      <w:marRight w:val="0"/>
      <w:marTop w:val="0"/>
      <w:marBottom w:val="0"/>
      <w:divBdr>
        <w:top w:val="none" w:sz="0" w:space="0" w:color="auto"/>
        <w:left w:val="none" w:sz="0" w:space="0" w:color="auto"/>
        <w:bottom w:val="none" w:sz="0" w:space="0" w:color="auto"/>
        <w:right w:val="none" w:sz="0" w:space="0" w:color="auto"/>
      </w:divBdr>
    </w:div>
    <w:div w:id="739837947">
      <w:bodyDiv w:val="1"/>
      <w:marLeft w:val="0"/>
      <w:marRight w:val="0"/>
      <w:marTop w:val="0"/>
      <w:marBottom w:val="0"/>
      <w:divBdr>
        <w:top w:val="none" w:sz="0" w:space="0" w:color="auto"/>
        <w:left w:val="none" w:sz="0" w:space="0" w:color="auto"/>
        <w:bottom w:val="none" w:sz="0" w:space="0" w:color="auto"/>
        <w:right w:val="none" w:sz="0" w:space="0" w:color="auto"/>
      </w:divBdr>
    </w:div>
    <w:div w:id="744959865">
      <w:bodyDiv w:val="1"/>
      <w:marLeft w:val="0"/>
      <w:marRight w:val="0"/>
      <w:marTop w:val="0"/>
      <w:marBottom w:val="0"/>
      <w:divBdr>
        <w:top w:val="none" w:sz="0" w:space="0" w:color="auto"/>
        <w:left w:val="none" w:sz="0" w:space="0" w:color="auto"/>
        <w:bottom w:val="none" w:sz="0" w:space="0" w:color="auto"/>
        <w:right w:val="none" w:sz="0" w:space="0" w:color="auto"/>
      </w:divBdr>
    </w:div>
    <w:div w:id="750473232">
      <w:bodyDiv w:val="1"/>
      <w:marLeft w:val="0"/>
      <w:marRight w:val="0"/>
      <w:marTop w:val="0"/>
      <w:marBottom w:val="0"/>
      <w:divBdr>
        <w:top w:val="none" w:sz="0" w:space="0" w:color="auto"/>
        <w:left w:val="none" w:sz="0" w:space="0" w:color="auto"/>
        <w:bottom w:val="none" w:sz="0" w:space="0" w:color="auto"/>
        <w:right w:val="none" w:sz="0" w:space="0" w:color="auto"/>
      </w:divBdr>
    </w:div>
    <w:div w:id="756636567">
      <w:bodyDiv w:val="1"/>
      <w:marLeft w:val="0"/>
      <w:marRight w:val="0"/>
      <w:marTop w:val="0"/>
      <w:marBottom w:val="0"/>
      <w:divBdr>
        <w:top w:val="none" w:sz="0" w:space="0" w:color="auto"/>
        <w:left w:val="none" w:sz="0" w:space="0" w:color="auto"/>
        <w:bottom w:val="none" w:sz="0" w:space="0" w:color="auto"/>
        <w:right w:val="none" w:sz="0" w:space="0" w:color="auto"/>
      </w:divBdr>
    </w:div>
    <w:div w:id="794755842">
      <w:bodyDiv w:val="1"/>
      <w:marLeft w:val="0"/>
      <w:marRight w:val="0"/>
      <w:marTop w:val="0"/>
      <w:marBottom w:val="0"/>
      <w:divBdr>
        <w:top w:val="none" w:sz="0" w:space="0" w:color="auto"/>
        <w:left w:val="none" w:sz="0" w:space="0" w:color="auto"/>
        <w:bottom w:val="none" w:sz="0" w:space="0" w:color="auto"/>
        <w:right w:val="none" w:sz="0" w:space="0" w:color="auto"/>
      </w:divBdr>
      <w:divsChild>
        <w:div w:id="1982224540">
          <w:marLeft w:val="0"/>
          <w:marRight w:val="0"/>
          <w:marTop w:val="0"/>
          <w:marBottom w:val="0"/>
          <w:divBdr>
            <w:top w:val="none" w:sz="0" w:space="0" w:color="auto"/>
            <w:left w:val="none" w:sz="0" w:space="0" w:color="auto"/>
            <w:bottom w:val="none" w:sz="0" w:space="0" w:color="auto"/>
            <w:right w:val="none" w:sz="0" w:space="0" w:color="auto"/>
          </w:divBdr>
        </w:div>
      </w:divsChild>
    </w:div>
    <w:div w:id="826169899">
      <w:bodyDiv w:val="1"/>
      <w:marLeft w:val="0"/>
      <w:marRight w:val="0"/>
      <w:marTop w:val="0"/>
      <w:marBottom w:val="0"/>
      <w:divBdr>
        <w:top w:val="none" w:sz="0" w:space="0" w:color="auto"/>
        <w:left w:val="none" w:sz="0" w:space="0" w:color="auto"/>
        <w:bottom w:val="none" w:sz="0" w:space="0" w:color="auto"/>
        <w:right w:val="none" w:sz="0" w:space="0" w:color="auto"/>
      </w:divBdr>
    </w:div>
    <w:div w:id="878206559">
      <w:bodyDiv w:val="1"/>
      <w:marLeft w:val="0"/>
      <w:marRight w:val="0"/>
      <w:marTop w:val="0"/>
      <w:marBottom w:val="0"/>
      <w:divBdr>
        <w:top w:val="none" w:sz="0" w:space="0" w:color="auto"/>
        <w:left w:val="none" w:sz="0" w:space="0" w:color="auto"/>
        <w:bottom w:val="none" w:sz="0" w:space="0" w:color="auto"/>
        <w:right w:val="none" w:sz="0" w:space="0" w:color="auto"/>
      </w:divBdr>
    </w:div>
    <w:div w:id="899905228">
      <w:bodyDiv w:val="1"/>
      <w:marLeft w:val="0"/>
      <w:marRight w:val="0"/>
      <w:marTop w:val="0"/>
      <w:marBottom w:val="0"/>
      <w:divBdr>
        <w:top w:val="none" w:sz="0" w:space="0" w:color="auto"/>
        <w:left w:val="none" w:sz="0" w:space="0" w:color="auto"/>
        <w:bottom w:val="none" w:sz="0" w:space="0" w:color="auto"/>
        <w:right w:val="none" w:sz="0" w:space="0" w:color="auto"/>
      </w:divBdr>
    </w:div>
    <w:div w:id="910383446">
      <w:bodyDiv w:val="1"/>
      <w:marLeft w:val="0"/>
      <w:marRight w:val="0"/>
      <w:marTop w:val="0"/>
      <w:marBottom w:val="0"/>
      <w:divBdr>
        <w:top w:val="none" w:sz="0" w:space="0" w:color="auto"/>
        <w:left w:val="none" w:sz="0" w:space="0" w:color="auto"/>
        <w:bottom w:val="none" w:sz="0" w:space="0" w:color="auto"/>
        <w:right w:val="none" w:sz="0" w:space="0" w:color="auto"/>
      </w:divBdr>
    </w:div>
    <w:div w:id="928850724">
      <w:bodyDiv w:val="1"/>
      <w:marLeft w:val="0"/>
      <w:marRight w:val="0"/>
      <w:marTop w:val="0"/>
      <w:marBottom w:val="0"/>
      <w:divBdr>
        <w:top w:val="none" w:sz="0" w:space="0" w:color="auto"/>
        <w:left w:val="none" w:sz="0" w:space="0" w:color="auto"/>
        <w:bottom w:val="none" w:sz="0" w:space="0" w:color="auto"/>
        <w:right w:val="none" w:sz="0" w:space="0" w:color="auto"/>
      </w:divBdr>
    </w:div>
    <w:div w:id="964966347">
      <w:bodyDiv w:val="1"/>
      <w:marLeft w:val="0"/>
      <w:marRight w:val="0"/>
      <w:marTop w:val="0"/>
      <w:marBottom w:val="0"/>
      <w:divBdr>
        <w:top w:val="none" w:sz="0" w:space="0" w:color="auto"/>
        <w:left w:val="none" w:sz="0" w:space="0" w:color="auto"/>
        <w:bottom w:val="none" w:sz="0" w:space="0" w:color="auto"/>
        <w:right w:val="none" w:sz="0" w:space="0" w:color="auto"/>
      </w:divBdr>
    </w:div>
    <w:div w:id="976571111">
      <w:bodyDiv w:val="1"/>
      <w:marLeft w:val="0"/>
      <w:marRight w:val="0"/>
      <w:marTop w:val="0"/>
      <w:marBottom w:val="0"/>
      <w:divBdr>
        <w:top w:val="none" w:sz="0" w:space="0" w:color="auto"/>
        <w:left w:val="none" w:sz="0" w:space="0" w:color="auto"/>
        <w:bottom w:val="none" w:sz="0" w:space="0" w:color="auto"/>
        <w:right w:val="none" w:sz="0" w:space="0" w:color="auto"/>
      </w:divBdr>
    </w:div>
    <w:div w:id="990478146">
      <w:bodyDiv w:val="1"/>
      <w:marLeft w:val="0"/>
      <w:marRight w:val="0"/>
      <w:marTop w:val="0"/>
      <w:marBottom w:val="0"/>
      <w:divBdr>
        <w:top w:val="none" w:sz="0" w:space="0" w:color="auto"/>
        <w:left w:val="none" w:sz="0" w:space="0" w:color="auto"/>
        <w:bottom w:val="none" w:sz="0" w:space="0" w:color="auto"/>
        <w:right w:val="none" w:sz="0" w:space="0" w:color="auto"/>
      </w:divBdr>
    </w:div>
    <w:div w:id="1054698634">
      <w:bodyDiv w:val="1"/>
      <w:marLeft w:val="0"/>
      <w:marRight w:val="0"/>
      <w:marTop w:val="0"/>
      <w:marBottom w:val="0"/>
      <w:divBdr>
        <w:top w:val="none" w:sz="0" w:space="0" w:color="auto"/>
        <w:left w:val="none" w:sz="0" w:space="0" w:color="auto"/>
        <w:bottom w:val="none" w:sz="0" w:space="0" w:color="auto"/>
        <w:right w:val="none" w:sz="0" w:space="0" w:color="auto"/>
      </w:divBdr>
    </w:div>
    <w:div w:id="1055550189">
      <w:bodyDiv w:val="1"/>
      <w:marLeft w:val="0"/>
      <w:marRight w:val="0"/>
      <w:marTop w:val="0"/>
      <w:marBottom w:val="0"/>
      <w:divBdr>
        <w:top w:val="none" w:sz="0" w:space="0" w:color="auto"/>
        <w:left w:val="none" w:sz="0" w:space="0" w:color="auto"/>
        <w:bottom w:val="none" w:sz="0" w:space="0" w:color="auto"/>
        <w:right w:val="none" w:sz="0" w:space="0" w:color="auto"/>
      </w:divBdr>
    </w:div>
    <w:div w:id="1141114682">
      <w:bodyDiv w:val="1"/>
      <w:marLeft w:val="0"/>
      <w:marRight w:val="0"/>
      <w:marTop w:val="0"/>
      <w:marBottom w:val="0"/>
      <w:divBdr>
        <w:top w:val="none" w:sz="0" w:space="0" w:color="auto"/>
        <w:left w:val="none" w:sz="0" w:space="0" w:color="auto"/>
        <w:bottom w:val="none" w:sz="0" w:space="0" w:color="auto"/>
        <w:right w:val="none" w:sz="0" w:space="0" w:color="auto"/>
      </w:divBdr>
    </w:div>
    <w:div w:id="1163668329">
      <w:bodyDiv w:val="1"/>
      <w:marLeft w:val="0"/>
      <w:marRight w:val="0"/>
      <w:marTop w:val="0"/>
      <w:marBottom w:val="0"/>
      <w:divBdr>
        <w:top w:val="none" w:sz="0" w:space="0" w:color="auto"/>
        <w:left w:val="none" w:sz="0" w:space="0" w:color="auto"/>
        <w:bottom w:val="none" w:sz="0" w:space="0" w:color="auto"/>
        <w:right w:val="none" w:sz="0" w:space="0" w:color="auto"/>
      </w:divBdr>
    </w:div>
    <w:div w:id="1182473629">
      <w:bodyDiv w:val="1"/>
      <w:marLeft w:val="0"/>
      <w:marRight w:val="0"/>
      <w:marTop w:val="0"/>
      <w:marBottom w:val="0"/>
      <w:divBdr>
        <w:top w:val="none" w:sz="0" w:space="0" w:color="auto"/>
        <w:left w:val="none" w:sz="0" w:space="0" w:color="auto"/>
        <w:bottom w:val="none" w:sz="0" w:space="0" w:color="auto"/>
        <w:right w:val="none" w:sz="0" w:space="0" w:color="auto"/>
      </w:divBdr>
    </w:div>
    <w:div w:id="1232961064">
      <w:bodyDiv w:val="1"/>
      <w:marLeft w:val="0"/>
      <w:marRight w:val="0"/>
      <w:marTop w:val="0"/>
      <w:marBottom w:val="0"/>
      <w:divBdr>
        <w:top w:val="none" w:sz="0" w:space="0" w:color="auto"/>
        <w:left w:val="none" w:sz="0" w:space="0" w:color="auto"/>
        <w:bottom w:val="none" w:sz="0" w:space="0" w:color="auto"/>
        <w:right w:val="none" w:sz="0" w:space="0" w:color="auto"/>
      </w:divBdr>
    </w:div>
    <w:div w:id="1410614488">
      <w:bodyDiv w:val="1"/>
      <w:marLeft w:val="0"/>
      <w:marRight w:val="0"/>
      <w:marTop w:val="0"/>
      <w:marBottom w:val="0"/>
      <w:divBdr>
        <w:top w:val="none" w:sz="0" w:space="0" w:color="auto"/>
        <w:left w:val="none" w:sz="0" w:space="0" w:color="auto"/>
        <w:bottom w:val="none" w:sz="0" w:space="0" w:color="auto"/>
        <w:right w:val="none" w:sz="0" w:space="0" w:color="auto"/>
      </w:divBdr>
    </w:div>
    <w:div w:id="1455561637">
      <w:bodyDiv w:val="1"/>
      <w:marLeft w:val="0"/>
      <w:marRight w:val="0"/>
      <w:marTop w:val="0"/>
      <w:marBottom w:val="0"/>
      <w:divBdr>
        <w:top w:val="none" w:sz="0" w:space="0" w:color="auto"/>
        <w:left w:val="none" w:sz="0" w:space="0" w:color="auto"/>
        <w:bottom w:val="none" w:sz="0" w:space="0" w:color="auto"/>
        <w:right w:val="none" w:sz="0" w:space="0" w:color="auto"/>
      </w:divBdr>
    </w:div>
    <w:div w:id="1501920866">
      <w:bodyDiv w:val="1"/>
      <w:marLeft w:val="0"/>
      <w:marRight w:val="0"/>
      <w:marTop w:val="0"/>
      <w:marBottom w:val="0"/>
      <w:divBdr>
        <w:top w:val="none" w:sz="0" w:space="0" w:color="auto"/>
        <w:left w:val="none" w:sz="0" w:space="0" w:color="auto"/>
        <w:bottom w:val="none" w:sz="0" w:space="0" w:color="auto"/>
        <w:right w:val="none" w:sz="0" w:space="0" w:color="auto"/>
      </w:divBdr>
    </w:div>
    <w:div w:id="1559393623">
      <w:bodyDiv w:val="1"/>
      <w:marLeft w:val="0"/>
      <w:marRight w:val="0"/>
      <w:marTop w:val="0"/>
      <w:marBottom w:val="0"/>
      <w:divBdr>
        <w:top w:val="none" w:sz="0" w:space="0" w:color="auto"/>
        <w:left w:val="none" w:sz="0" w:space="0" w:color="auto"/>
        <w:bottom w:val="none" w:sz="0" w:space="0" w:color="auto"/>
        <w:right w:val="none" w:sz="0" w:space="0" w:color="auto"/>
      </w:divBdr>
    </w:div>
    <w:div w:id="1610090197">
      <w:bodyDiv w:val="1"/>
      <w:marLeft w:val="0"/>
      <w:marRight w:val="0"/>
      <w:marTop w:val="0"/>
      <w:marBottom w:val="0"/>
      <w:divBdr>
        <w:top w:val="none" w:sz="0" w:space="0" w:color="auto"/>
        <w:left w:val="none" w:sz="0" w:space="0" w:color="auto"/>
        <w:bottom w:val="none" w:sz="0" w:space="0" w:color="auto"/>
        <w:right w:val="none" w:sz="0" w:space="0" w:color="auto"/>
      </w:divBdr>
    </w:div>
    <w:div w:id="1660696083">
      <w:bodyDiv w:val="1"/>
      <w:marLeft w:val="0"/>
      <w:marRight w:val="0"/>
      <w:marTop w:val="0"/>
      <w:marBottom w:val="0"/>
      <w:divBdr>
        <w:top w:val="none" w:sz="0" w:space="0" w:color="auto"/>
        <w:left w:val="none" w:sz="0" w:space="0" w:color="auto"/>
        <w:bottom w:val="none" w:sz="0" w:space="0" w:color="auto"/>
        <w:right w:val="none" w:sz="0" w:space="0" w:color="auto"/>
      </w:divBdr>
    </w:div>
    <w:div w:id="1725837723">
      <w:bodyDiv w:val="1"/>
      <w:marLeft w:val="0"/>
      <w:marRight w:val="0"/>
      <w:marTop w:val="0"/>
      <w:marBottom w:val="0"/>
      <w:divBdr>
        <w:top w:val="none" w:sz="0" w:space="0" w:color="auto"/>
        <w:left w:val="none" w:sz="0" w:space="0" w:color="auto"/>
        <w:bottom w:val="none" w:sz="0" w:space="0" w:color="auto"/>
        <w:right w:val="none" w:sz="0" w:space="0" w:color="auto"/>
      </w:divBdr>
    </w:div>
    <w:div w:id="1781559921">
      <w:bodyDiv w:val="1"/>
      <w:marLeft w:val="0"/>
      <w:marRight w:val="0"/>
      <w:marTop w:val="0"/>
      <w:marBottom w:val="0"/>
      <w:divBdr>
        <w:top w:val="none" w:sz="0" w:space="0" w:color="auto"/>
        <w:left w:val="none" w:sz="0" w:space="0" w:color="auto"/>
        <w:bottom w:val="none" w:sz="0" w:space="0" w:color="auto"/>
        <w:right w:val="none" w:sz="0" w:space="0" w:color="auto"/>
      </w:divBdr>
    </w:div>
    <w:div w:id="1789818301">
      <w:bodyDiv w:val="1"/>
      <w:marLeft w:val="0"/>
      <w:marRight w:val="0"/>
      <w:marTop w:val="0"/>
      <w:marBottom w:val="0"/>
      <w:divBdr>
        <w:top w:val="none" w:sz="0" w:space="0" w:color="auto"/>
        <w:left w:val="none" w:sz="0" w:space="0" w:color="auto"/>
        <w:bottom w:val="none" w:sz="0" w:space="0" w:color="auto"/>
        <w:right w:val="none" w:sz="0" w:space="0" w:color="auto"/>
      </w:divBdr>
    </w:div>
    <w:div w:id="1834374842">
      <w:bodyDiv w:val="1"/>
      <w:marLeft w:val="0"/>
      <w:marRight w:val="0"/>
      <w:marTop w:val="0"/>
      <w:marBottom w:val="0"/>
      <w:divBdr>
        <w:top w:val="none" w:sz="0" w:space="0" w:color="auto"/>
        <w:left w:val="none" w:sz="0" w:space="0" w:color="auto"/>
        <w:bottom w:val="none" w:sz="0" w:space="0" w:color="auto"/>
        <w:right w:val="none" w:sz="0" w:space="0" w:color="auto"/>
      </w:divBdr>
    </w:div>
    <w:div w:id="1841391246">
      <w:bodyDiv w:val="1"/>
      <w:marLeft w:val="0"/>
      <w:marRight w:val="0"/>
      <w:marTop w:val="0"/>
      <w:marBottom w:val="0"/>
      <w:divBdr>
        <w:top w:val="none" w:sz="0" w:space="0" w:color="auto"/>
        <w:left w:val="none" w:sz="0" w:space="0" w:color="auto"/>
        <w:bottom w:val="none" w:sz="0" w:space="0" w:color="auto"/>
        <w:right w:val="none" w:sz="0" w:space="0" w:color="auto"/>
      </w:divBdr>
    </w:div>
    <w:div w:id="1879394629">
      <w:bodyDiv w:val="1"/>
      <w:marLeft w:val="0"/>
      <w:marRight w:val="0"/>
      <w:marTop w:val="0"/>
      <w:marBottom w:val="0"/>
      <w:divBdr>
        <w:top w:val="none" w:sz="0" w:space="0" w:color="auto"/>
        <w:left w:val="none" w:sz="0" w:space="0" w:color="auto"/>
        <w:bottom w:val="none" w:sz="0" w:space="0" w:color="auto"/>
        <w:right w:val="none" w:sz="0" w:space="0" w:color="auto"/>
      </w:divBdr>
    </w:div>
    <w:div w:id="1890530510">
      <w:bodyDiv w:val="1"/>
      <w:marLeft w:val="0"/>
      <w:marRight w:val="0"/>
      <w:marTop w:val="0"/>
      <w:marBottom w:val="0"/>
      <w:divBdr>
        <w:top w:val="none" w:sz="0" w:space="0" w:color="auto"/>
        <w:left w:val="none" w:sz="0" w:space="0" w:color="auto"/>
        <w:bottom w:val="none" w:sz="0" w:space="0" w:color="auto"/>
        <w:right w:val="none" w:sz="0" w:space="0" w:color="auto"/>
      </w:divBdr>
    </w:div>
    <w:div w:id="1895118626">
      <w:bodyDiv w:val="1"/>
      <w:marLeft w:val="0"/>
      <w:marRight w:val="0"/>
      <w:marTop w:val="0"/>
      <w:marBottom w:val="0"/>
      <w:divBdr>
        <w:top w:val="none" w:sz="0" w:space="0" w:color="auto"/>
        <w:left w:val="none" w:sz="0" w:space="0" w:color="auto"/>
        <w:bottom w:val="none" w:sz="0" w:space="0" w:color="auto"/>
        <w:right w:val="none" w:sz="0" w:space="0" w:color="auto"/>
      </w:divBdr>
    </w:div>
    <w:div w:id="1931309686">
      <w:bodyDiv w:val="1"/>
      <w:marLeft w:val="0"/>
      <w:marRight w:val="0"/>
      <w:marTop w:val="0"/>
      <w:marBottom w:val="0"/>
      <w:divBdr>
        <w:top w:val="none" w:sz="0" w:space="0" w:color="auto"/>
        <w:left w:val="none" w:sz="0" w:space="0" w:color="auto"/>
        <w:bottom w:val="none" w:sz="0" w:space="0" w:color="auto"/>
        <w:right w:val="none" w:sz="0" w:space="0" w:color="auto"/>
      </w:divBdr>
    </w:div>
    <w:div w:id="1961955974">
      <w:bodyDiv w:val="1"/>
      <w:marLeft w:val="0"/>
      <w:marRight w:val="0"/>
      <w:marTop w:val="0"/>
      <w:marBottom w:val="0"/>
      <w:divBdr>
        <w:top w:val="none" w:sz="0" w:space="0" w:color="auto"/>
        <w:left w:val="none" w:sz="0" w:space="0" w:color="auto"/>
        <w:bottom w:val="none" w:sz="0" w:space="0" w:color="auto"/>
        <w:right w:val="none" w:sz="0" w:space="0" w:color="auto"/>
      </w:divBdr>
    </w:div>
    <w:div w:id="1970477413">
      <w:bodyDiv w:val="1"/>
      <w:marLeft w:val="0"/>
      <w:marRight w:val="0"/>
      <w:marTop w:val="0"/>
      <w:marBottom w:val="0"/>
      <w:divBdr>
        <w:top w:val="none" w:sz="0" w:space="0" w:color="auto"/>
        <w:left w:val="none" w:sz="0" w:space="0" w:color="auto"/>
        <w:bottom w:val="none" w:sz="0" w:space="0" w:color="auto"/>
        <w:right w:val="none" w:sz="0" w:space="0" w:color="auto"/>
      </w:divBdr>
    </w:div>
    <w:div w:id="2009600345">
      <w:bodyDiv w:val="1"/>
      <w:marLeft w:val="0"/>
      <w:marRight w:val="0"/>
      <w:marTop w:val="0"/>
      <w:marBottom w:val="0"/>
      <w:divBdr>
        <w:top w:val="none" w:sz="0" w:space="0" w:color="auto"/>
        <w:left w:val="none" w:sz="0" w:space="0" w:color="auto"/>
        <w:bottom w:val="none" w:sz="0" w:space="0" w:color="auto"/>
        <w:right w:val="none" w:sz="0" w:space="0" w:color="auto"/>
      </w:divBdr>
    </w:div>
    <w:div w:id="2034721153">
      <w:bodyDiv w:val="1"/>
      <w:marLeft w:val="0"/>
      <w:marRight w:val="0"/>
      <w:marTop w:val="0"/>
      <w:marBottom w:val="0"/>
      <w:divBdr>
        <w:top w:val="none" w:sz="0" w:space="0" w:color="auto"/>
        <w:left w:val="none" w:sz="0" w:space="0" w:color="auto"/>
        <w:bottom w:val="none" w:sz="0" w:space="0" w:color="auto"/>
        <w:right w:val="none" w:sz="0" w:space="0" w:color="auto"/>
      </w:divBdr>
    </w:div>
    <w:div w:id="2046900233">
      <w:bodyDiv w:val="1"/>
      <w:marLeft w:val="0"/>
      <w:marRight w:val="0"/>
      <w:marTop w:val="0"/>
      <w:marBottom w:val="0"/>
      <w:divBdr>
        <w:top w:val="none" w:sz="0" w:space="0" w:color="auto"/>
        <w:left w:val="none" w:sz="0" w:space="0" w:color="auto"/>
        <w:bottom w:val="none" w:sz="0" w:space="0" w:color="auto"/>
        <w:right w:val="none" w:sz="0" w:space="0" w:color="auto"/>
      </w:divBdr>
    </w:div>
    <w:div w:id="2083680258">
      <w:bodyDiv w:val="1"/>
      <w:marLeft w:val="0"/>
      <w:marRight w:val="0"/>
      <w:marTop w:val="0"/>
      <w:marBottom w:val="0"/>
      <w:divBdr>
        <w:top w:val="none" w:sz="0" w:space="0" w:color="auto"/>
        <w:left w:val="none" w:sz="0" w:space="0" w:color="auto"/>
        <w:bottom w:val="none" w:sz="0" w:space="0" w:color="auto"/>
        <w:right w:val="none" w:sz="0" w:space="0" w:color="auto"/>
      </w:divBdr>
    </w:div>
    <w:div w:id="2110467074">
      <w:bodyDiv w:val="1"/>
      <w:marLeft w:val="0"/>
      <w:marRight w:val="0"/>
      <w:marTop w:val="0"/>
      <w:marBottom w:val="0"/>
      <w:divBdr>
        <w:top w:val="none" w:sz="0" w:space="0" w:color="auto"/>
        <w:left w:val="none" w:sz="0" w:space="0" w:color="auto"/>
        <w:bottom w:val="none" w:sz="0" w:space="0" w:color="auto"/>
        <w:right w:val="none" w:sz="0" w:space="0" w:color="auto"/>
      </w:divBdr>
    </w:div>
    <w:div w:id="2112049265">
      <w:bodyDiv w:val="1"/>
      <w:marLeft w:val="0"/>
      <w:marRight w:val="0"/>
      <w:marTop w:val="0"/>
      <w:marBottom w:val="0"/>
      <w:divBdr>
        <w:top w:val="none" w:sz="0" w:space="0" w:color="auto"/>
        <w:left w:val="none" w:sz="0" w:space="0" w:color="auto"/>
        <w:bottom w:val="none" w:sz="0" w:space="0" w:color="auto"/>
        <w:right w:val="none" w:sz="0" w:space="0" w:color="auto"/>
      </w:divBdr>
    </w:div>
    <w:div w:id="2120563877">
      <w:bodyDiv w:val="1"/>
      <w:marLeft w:val="0"/>
      <w:marRight w:val="0"/>
      <w:marTop w:val="0"/>
      <w:marBottom w:val="0"/>
      <w:divBdr>
        <w:top w:val="none" w:sz="0" w:space="0" w:color="auto"/>
        <w:left w:val="none" w:sz="0" w:space="0" w:color="auto"/>
        <w:bottom w:val="none" w:sz="0" w:space="0" w:color="auto"/>
        <w:right w:val="none" w:sz="0" w:space="0" w:color="auto"/>
      </w:divBdr>
      <w:divsChild>
        <w:div w:id="1134443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is.psc.mo.gov/mpsc/Docket.asp?caseno=GO-2019-0357" TargetMode="External"/><Relationship Id="rId18" Type="http://schemas.openxmlformats.org/officeDocument/2006/relationships/hyperlink" Target="http://apps.psc.wi.gov/vs2015/ERF_search/content/searchResult.aspx?UTIL=5&amp;CASE=UR&amp;SEQ=109&amp;START=none&amp;END=none&amp;TYPE=none&amp;SERVICE=none&amp;KEY=none&amp;NON=N" TargetMode="External"/><Relationship Id="rId26" Type="http://schemas.openxmlformats.org/officeDocument/2006/relationships/hyperlink" Target="https://efs.iowa.gov/efs/ShowDocketSummary.do?docketNumber=RPU-2019-0002" TargetMode="External"/><Relationship Id="rId3" Type="http://schemas.openxmlformats.org/officeDocument/2006/relationships/styles" Target="styles.xml"/><Relationship Id="rId21" Type="http://schemas.openxmlformats.org/officeDocument/2006/relationships/hyperlink" Target="https://publicsquare.ks.gov/docs/default-source/default-document-library/notice_20191121.pdf?sfvrsn=b794bb19_0"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tc.wa.gov/docs/Pages/DocketLookup.aspx?FilingID=181053" TargetMode="External"/><Relationship Id="rId17" Type="http://schemas.openxmlformats.org/officeDocument/2006/relationships/hyperlink" Target="http://apps.psc.wi.gov/vs2015/ERF_search/content/searchResult.aspx?UTIL=5&amp;CASE=UR&amp;SEQ=109&amp;START=none&amp;END=none&amp;TYPE=none&amp;SERVICE=none&amp;KEY=none&amp;NON=N" TargetMode="External"/><Relationship Id="rId25" Type="http://schemas.openxmlformats.org/officeDocument/2006/relationships/hyperlink" Target="https://dms.wyo.gov/ManageDocket.aspx?DocketId=TQ5mXgC7NMzBJnBPO3Ap6y%2btlvAuKnjY4hD0LxIl7do%3d"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pps.psc.wi.gov/vs2017/dockets/content/detail.aspx?id=6690&amp;case=UR&amp;num=126" TargetMode="External"/><Relationship Id="rId20" Type="http://schemas.openxmlformats.org/officeDocument/2006/relationships/hyperlink" Target="https://www.nj.gov/bpu/pdf/boardorders/2019/20191113/11-13-19-2C.pdf" TargetMode="External"/><Relationship Id="rId29" Type="http://schemas.openxmlformats.org/officeDocument/2006/relationships/hyperlink" Target="https://apps.cpuc.ca.gov/apex/f?p=401:57:0::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puc.state.or.us/edockets/docket.asp?DocketID=21845" TargetMode="External"/><Relationship Id="rId24" Type="http://schemas.openxmlformats.org/officeDocument/2006/relationships/hyperlink" Target="http://www.scc.virginia.gov/DocketSearch" TargetMode="External"/><Relationship Id="rId32" Type="http://schemas.openxmlformats.org/officeDocument/2006/relationships/hyperlink" Target="http://www.aga.org" TargetMode="External"/><Relationship Id="rId5" Type="http://schemas.openxmlformats.org/officeDocument/2006/relationships/webSettings" Target="webSettings.xml"/><Relationship Id="rId15" Type="http://schemas.openxmlformats.org/officeDocument/2006/relationships/hyperlink" Target="https://starw1.ncuc.net/NCUC/page/docket-docs/PSC/DocketDetails.aspx?DocketId=43828dbd-9ced-4abf-8fae-23bf66c71b50" TargetMode="External"/><Relationship Id="rId23" Type="http://schemas.openxmlformats.org/officeDocument/2006/relationships/hyperlink" Target="https://mi-psc.force.com/s/case/500t000000FU4kWAAT/in-the-matter-of-the-application-of-semco-energy-gas-company-for-authority-to-increase-its-rates-for-the-distribution-and-transportation-of-natural-gas-and-for-other-relief" TargetMode="External"/><Relationship Id="rId28" Type="http://schemas.openxmlformats.org/officeDocument/2006/relationships/hyperlink" Target="https://www.sdge.com/rates-and-regulations/proceedings/2020-cost-of-capital" TargetMode="External"/><Relationship Id="rId36" Type="http://schemas.openxmlformats.org/officeDocument/2006/relationships/theme" Target="theme/theme1.xml"/><Relationship Id="rId10" Type="http://schemas.openxmlformats.org/officeDocument/2006/relationships/hyperlink" Target="http://www.puc.pa.gov/about_puc/consolidated_case_view.aspx?Docket=R-2018-3006818" TargetMode="External"/><Relationship Id="rId19" Type="http://schemas.openxmlformats.org/officeDocument/2006/relationships/hyperlink" Target="https://www.nj.gov/bpu/pdf/boardorders/2019/20191113/11-13-19-2D.pdf" TargetMode="External"/><Relationship Id="rId31" Type="http://schemas.openxmlformats.org/officeDocument/2006/relationships/hyperlink" Target="http://www.scc.virginia.gov/docketsearch" TargetMode="External"/><Relationship Id="rId4" Type="http://schemas.openxmlformats.org/officeDocument/2006/relationships/settings" Target="settings.xml"/><Relationship Id="rId9" Type="http://schemas.openxmlformats.org/officeDocument/2006/relationships/hyperlink" Target="https://www.icc.illinois.gov/docket/CaseDetails.aspx?no=18-1775" TargetMode="External"/><Relationship Id="rId14" Type="http://schemas.openxmlformats.org/officeDocument/2006/relationships/hyperlink" Target="https://efis.psc.mo.gov/mpsc/Docket.asp?caseno=GO-2019-0356" TargetMode="External"/><Relationship Id="rId22" Type="http://schemas.openxmlformats.org/officeDocument/2006/relationships/hyperlink" Target="http://www.scc.virginia.gov/DocketSearch" TargetMode="External"/><Relationship Id="rId27" Type="http://schemas.openxmlformats.org/officeDocument/2006/relationships/hyperlink" Target="https://www.psc.state.md.us/search-results/?q=9609&amp;x.x=0&amp;x.y=0&amp;search=all&amp;search=case" TargetMode="External"/><Relationship Id="rId30" Type="http://schemas.openxmlformats.org/officeDocument/2006/relationships/hyperlink" Target="https://psc.ga.gov/search/facts-docket/?docketId=42315" TargetMode="External"/><Relationship Id="rId35" Type="http://schemas.openxmlformats.org/officeDocument/2006/relationships/fontTable" Target="fontTable.xml"/><Relationship Id="rId8" Type="http://schemas.openxmlformats.org/officeDocument/2006/relationships/hyperlink" Target="https://www.aga.org/rate-aler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5542F-1B9F-49D8-8E99-EA2548FFF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19</Pages>
  <Words>7058</Words>
  <Characters>40234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Zuretti</dc:creator>
  <cp:keywords/>
  <dc:description/>
  <cp:lastModifiedBy>Canavan, Frank</cp:lastModifiedBy>
  <cp:revision>34</cp:revision>
  <cp:lastPrinted>2020-01-13T18:01:00Z</cp:lastPrinted>
  <dcterms:created xsi:type="dcterms:W3CDTF">2020-01-10T17:15:00Z</dcterms:created>
  <dcterms:modified xsi:type="dcterms:W3CDTF">2020-01-13T18:06:00Z</dcterms:modified>
</cp:coreProperties>
</file>